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3080005"/>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2C51A8">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rPr>
                  <w:b/>
                  <w:sz w:val="32"/>
                </w:rPr>
              </w:sdtEndPr>
              <w:sdtContent>
                <w:tc>
                  <w:tcPr>
                    <w:tcW w:w="7672" w:type="dxa"/>
                    <w:tcMar>
                      <w:top w:w="216" w:type="dxa"/>
                      <w:left w:w="115" w:type="dxa"/>
                      <w:bottom w:w="216" w:type="dxa"/>
                      <w:right w:w="115" w:type="dxa"/>
                    </w:tcMar>
                  </w:tcPr>
                  <w:p w:rsidR="002C51A8" w:rsidRDefault="002F0B8D" w:rsidP="002F0B8D">
                    <w:pPr>
                      <w:pStyle w:val="NoSpacing"/>
                      <w:rPr>
                        <w:rFonts w:asciiTheme="majorHAnsi" w:eastAsiaTheme="majorEastAsia" w:hAnsiTheme="majorHAnsi" w:cstheme="majorBidi"/>
                      </w:rPr>
                    </w:pPr>
                    <w:proofErr w:type="spellStart"/>
                    <w:r>
                      <w:rPr>
                        <w:rFonts w:asciiTheme="majorHAnsi" w:eastAsiaTheme="majorEastAsia" w:hAnsiTheme="majorHAnsi" w:cstheme="majorBidi"/>
                        <w:b/>
                        <w:sz w:val="32"/>
                      </w:rPr>
                      <w:t>Tirth</w:t>
                    </w:r>
                    <w:proofErr w:type="spellEnd"/>
                    <w:r>
                      <w:rPr>
                        <w:rFonts w:asciiTheme="majorHAnsi" w:eastAsiaTheme="majorEastAsia" w:hAnsiTheme="majorHAnsi" w:cstheme="majorBidi"/>
                        <w:b/>
                        <w:sz w:val="32"/>
                      </w:rPr>
                      <w:t xml:space="preserve"> Plastic </w:t>
                    </w:r>
                    <w:r w:rsidR="00C95D51" w:rsidRPr="00CD2680">
                      <w:rPr>
                        <w:rFonts w:asciiTheme="majorHAnsi" w:eastAsiaTheme="majorEastAsia" w:hAnsiTheme="majorHAnsi" w:cstheme="majorBidi"/>
                        <w:b/>
                        <w:sz w:val="32"/>
                      </w:rPr>
                      <w:t>Limited</w:t>
                    </w:r>
                  </w:p>
                </w:tc>
              </w:sdtContent>
            </w:sdt>
          </w:tr>
          <w:tr w:rsidR="002C51A8">
            <w:tc>
              <w:tcPr>
                <w:tcW w:w="7672" w:type="dxa"/>
              </w:tcPr>
              <w:sdt>
                <w:sdtPr>
                  <w:rPr>
                    <w:rFonts w:asciiTheme="majorHAnsi" w:eastAsiaTheme="majorEastAsia" w:hAnsiTheme="majorHAnsi" w:cstheme="majorBidi"/>
                    <w:color w:val="4F81BD" w:themeColor="accent1"/>
                    <w:sz w:val="56"/>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2C51A8" w:rsidRDefault="002C51A8" w:rsidP="009902D4">
                    <w:pPr>
                      <w:pStyle w:val="NoSpacing"/>
                      <w:rPr>
                        <w:rFonts w:asciiTheme="majorHAnsi" w:eastAsiaTheme="majorEastAsia" w:hAnsiTheme="majorHAnsi" w:cstheme="majorBidi"/>
                        <w:color w:val="4F81BD" w:themeColor="accent1"/>
                        <w:sz w:val="80"/>
                        <w:szCs w:val="80"/>
                      </w:rPr>
                    </w:pPr>
                    <w:r w:rsidRPr="002C51A8">
                      <w:rPr>
                        <w:rFonts w:asciiTheme="majorHAnsi" w:eastAsiaTheme="majorEastAsia" w:hAnsiTheme="majorHAnsi" w:cstheme="majorBidi"/>
                        <w:color w:val="4F81BD" w:themeColor="accent1"/>
                        <w:sz w:val="56"/>
                        <w:szCs w:val="80"/>
                      </w:rPr>
                      <w:t>RELATED PARTY TRANSACTION POLICY</w:t>
                    </w:r>
                  </w:p>
                </w:sdtContent>
              </w:sdt>
            </w:tc>
          </w:tr>
          <w:tr w:rsidR="002C51A8">
            <w:sdt>
              <w:sdtPr>
                <w:rPr>
                  <w:rFonts w:asciiTheme="majorHAnsi" w:eastAsia="Times New Roman" w:hAnsiTheme="majorHAnsi"/>
                  <w:b/>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C51A8" w:rsidRDefault="00AC45AE" w:rsidP="00AC45AE">
                    <w:pPr>
                      <w:pStyle w:val="NoSpacing"/>
                      <w:jc w:val="both"/>
                      <w:rPr>
                        <w:rFonts w:asciiTheme="majorHAnsi" w:eastAsiaTheme="majorEastAsia" w:hAnsiTheme="majorHAnsi" w:cstheme="majorBidi"/>
                      </w:rPr>
                    </w:pPr>
                    <w:r w:rsidRPr="00AC45AE">
                      <w:rPr>
                        <w:rFonts w:asciiTheme="majorHAnsi" w:eastAsia="Times New Roman" w:hAnsiTheme="majorHAnsi"/>
                        <w:b/>
                      </w:rPr>
                      <w:t>PURSUANT TO REGULATION 23</w:t>
                    </w:r>
                    <w:r w:rsidR="005324A9">
                      <w:rPr>
                        <w:rFonts w:asciiTheme="majorHAnsi" w:eastAsia="Times New Roman" w:hAnsiTheme="majorHAnsi"/>
                        <w:b/>
                      </w:rPr>
                      <w:t>(1)</w:t>
                    </w:r>
                    <w:r w:rsidRPr="00AC45AE">
                      <w:rPr>
                        <w:rFonts w:asciiTheme="majorHAnsi" w:eastAsia="Times New Roman" w:hAnsiTheme="majorHAnsi"/>
                        <w:b/>
                      </w:rPr>
                      <w:t xml:space="preserve"> OF  SECURITIES AND EXCHANGE BOARD OF INDIA (LISTING OBLIGATIONS AND DISCLOSURE REQUIREMENTS) REGULATIONS, 2015</w:t>
                    </w:r>
                  </w:p>
                </w:tc>
              </w:sdtContent>
            </w:sdt>
          </w:tr>
        </w:tbl>
        <w:p w:rsidR="002C51A8" w:rsidRDefault="002C51A8"/>
        <w:p w:rsidR="002C51A8" w:rsidRDefault="002C51A8"/>
        <w:tbl>
          <w:tblPr>
            <w:tblpPr w:leftFromText="187" w:rightFromText="187" w:horzAnchor="margin" w:tblpXSpec="center" w:tblpYSpec="bottom"/>
            <w:tblW w:w="4000" w:type="pct"/>
            <w:tblLook w:val="04A0"/>
          </w:tblPr>
          <w:tblGrid>
            <w:gridCol w:w="7672"/>
          </w:tblGrid>
          <w:tr w:rsidR="002C51A8">
            <w:tc>
              <w:tcPr>
                <w:tcW w:w="7672" w:type="dxa"/>
                <w:tcMar>
                  <w:top w:w="216" w:type="dxa"/>
                  <w:left w:w="115" w:type="dxa"/>
                  <w:bottom w:w="216" w:type="dxa"/>
                  <w:right w:w="115" w:type="dxa"/>
                </w:tcMar>
              </w:tcPr>
              <w:p w:rsidR="002C51A8" w:rsidRDefault="002C51A8">
                <w:pPr>
                  <w:pStyle w:val="NoSpacing"/>
                  <w:rPr>
                    <w:color w:val="4F81BD" w:themeColor="accent1"/>
                  </w:rPr>
                </w:pPr>
              </w:p>
            </w:tc>
          </w:tr>
        </w:tbl>
        <w:p w:rsidR="002C51A8" w:rsidRDefault="002C51A8"/>
        <w:p w:rsidR="002C51A8" w:rsidRDefault="002C51A8">
          <w:r>
            <w:br w:type="page"/>
          </w:r>
        </w:p>
      </w:sdtContent>
    </w:sdt>
    <w:p w:rsidR="002C51A8" w:rsidRDefault="002C51A8" w:rsidP="002C51A8">
      <w:pPr>
        <w:pStyle w:val="ListParagraph"/>
        <w:numPr>
          <w:ilvl w:val="0"/>
          <w:numId w:val="1"/>
        </w:numPr>
        <w:rPr>
          <w:rFonts w:cstheme="minorHAnsi"/>
          <w:b/>
          <w:sz w:val="28"/>
          <w:u w:val="single"/>
        </w:rPr>
      </w:pPr>
      <w:r w:rsidRPr="002C51A8">
        <w:rPr>
          <w:rFonts w:cstheme="minorHAnsi"/>
          <w:b/>
          <w:sz w:val="28"/>
          <w:u w:val="single"/>
        </w:rPr>
        <w:lastRenderedPageBreak/>
        <w:t>INTRODUCTION</w:t>
      </w:r>
    </w:p>
    <w:p w:rsidR="009902D4" w:rsidRDefault="009902D4" w:rsidP="009902D4">
      <w:pPr>
        <w:pStyle w:val="ListParagraph"/>
        <w:rPr>
          <w:rFonts w:cstheme="minorHAnsi"/>
          <w:b/>
          <w:sz w:val="28"/>
          <w:u w:val="single"/>
        </w:rPr>
      </w:pPr>
    </w:p>
    <w:p w:rsidR="009902D4" w:rsidRDefault="009902D4" w:rsidP="009902D4">
      <w:pPr>
        <w:pStyle w:val="ListParagraph"/>
        <w:jc w:val="both"/>
        <w:rPr>
          <w:rFonts w:asciiTheme="majorHAnsi" w:eastAsia="Times New Roman" w:hAnsiTheme="majorHAnsi"/>
        </w:rPr>
      </w:pPr>
      <w:r w:rsidRPr="009902D4">
        <w:rPr>
          <w:rFonts w:asciiTheme="majorHAnsi" w:eastAsia="Times New Roman" w:hAnsiTheme="majorHAnsi"/>
        </w:rPr>
        <w:t xml:space="preserve">Related party transactions can present a potential or actual conflict of interest which may be against the best interest of the company and its shareholders. Considering the requirements for approval of related party transactions as prescribed under the Companies Act, 2013 ("Act") read with </w:t>
      </w:r>
      <w:r>
        <w:rPr>
          <w:rFonts w:asciiTheme="majorHAnsi" w:eastAsia="Times New Roman" w:hAnsiTheme="majorHAnsi"/>
        </w:rPr>
        <w:t>Regulation 23(1) of</w:t>
      </w:r>
      <w:r w:rsidRPr="009902D4">
        <w:rPr>
          <w:rFonts w:asciiTheme="majorHAnsi" w:eastAsia="Times New Roman" w:hAnsiTheme="majorHAnsi"/>
        </w:rPr>
        <w:t xml:space="preserve"> Securities and Exchange Board of India (Listing Obligations and Disclosure Requirements) Regulations, 2015. </w:t>
      </w:r>
      <w:proofErr w:type="spellStart"/>
      <w:r w:rsidR="002F0B8D">
        <w:rPr>
          <w:rFonts w:asciiTheme="majorHAnsi" w:eastAsia="Times New Roman" w:hAnsiTheme="majorHAnsi"/>
        </w:rPr>
        <w:t>Tirth</w:t>
      </w:r>
      <w:proofErr w:type="spellEnd"/>
      <w:r w:rsidR="002F0B8D">
        <w:rPr>
          <w:rFonts w:asciiTheme="majorHAnsi" w:eastAsia="Times New Roman" w:hAnsiTheme="majorHAnsi"/>
        </w:rPr>
        <w:t xml:space="preserve"> Plastic</w:t>
      </w:r>
      <w:r w:rsidR="00F001EC">
        <w:rPr>
          <w:rFonts w:asciiTheme="majorHAnsi" w:eastAsia="Times New Roman" w:hAnsiTheme="majorHAnsi"/>
        </w:rPr>
        <w:t xml:space="preserve"> </w:t>
      </w:r>
      <w:r w:rsidRPr="009902D4">
        <w:rPr>
          <w:rFonts w:asciiTheme="majorHAnsi" w:eastAsia="Times New Roman" w:hAnsiTheme="majorHAnsi"/>
        </w:rPr>
        <w:t xml:space="preserve">Limited has formulated revised guidelines </w:t>
      </w:r>
      <w:r>
        <w:rPr>
          <w:rFonts w:asciiTheme="majorHAnsi" w:eastAsia="Times New Roman" w:hAnsiTheme="majorHAnsi"/>
        </w:rPr>
        <w:t xml:space="preserve">with regard </w:t>
      </w:r>
      <w:r w:rsidRPr="009902D4">
        <w:rPr>
          <w:rFonts w:ascii="Cambria" w:hAnsi="Cambria"/>
          <w:szCs w:val="24"/>
        </w:rPr>
        <w:t>to materiality of Related Party Transactions and also on dealing with them</w:t>
      </w:r>
      <w:r>
        <w:rPr>
          <w:rFonts w:asciiTheme="majorHAnsi" w:eastAsia="Times New Roman" w:hAnsiTheme="majorHAnsi"/>
          <w:sz w:val="20"/>
        </w:rPr>
        <w:t>.</w:t>
      </w:r>
    </w:p>
    <w:p w:rsidR="009902D4" w:rsidRDefault="002F0B8D" w:rsidP="009902D4">
      <w:pPr>
        <w:ind w:left="720"/>
        <w:jc w:val="both"/>
        <w:rPr>
          <w:rFonts w:asciiTheme="majorHAnsi" w:eastAsia="Times New Roman" w:hAnsiTheme="majorHAnsi"/>
        </w:rPr>
      </w:pPr>
      <w:proofErr w:type="spellStart"/>
      <w:r>
        <w:rPr>
          <w:rFonts w:asciiTheme="majorHAnsi" w:eastAsia="Times New Roman" w:hAnsiTheme="majorHAnsi"/>
        </w:rPr>
        <w:t>Tirth</w:t>
      </w:r>
      <w:proofErr w:type="spellEnd"/>
      <w:r>
        <w:rPr>
          <w:rFonts w:asciiTheme="majorHAnsi" w:eastAsia="Times New Roman" w:hAnsiTheme="majorHAnsi"/>
        </w:rPr>
        <w:t xml:space="preserve"> Plastic</w:t>
      </w:r>
      <w:r w:rsidR="00F001EC">
        <w:rPr>
          <w:rFonts w:asciiTheme="majorHAnsi" w:eastAsia="Times New Roman" w:hAnsiTheme="majorHAnsi"/>
        </w:rPr>
        <w:t xml:space="preserve"> </w:t>
      </w:r>
      <w:r w:rsidR="009902D4">
        <w:rPr>
          <w:rFonts w:asciiTheme="majorHAnsi" w:eastAsia="Times New Roman" w:hAnsiTheme="majorHAnsi"/>
        </w:rPr>
        <w:t xml:space="preserve">Ltd </w:t>
      </w:r>
      <w:r w:rsidR="009902D4" w:rsidRPr="009902D4">
        <w:rPr>
          <w:rFonts w:asciiTheme="majorHAnsi" w:eastAsia="Times New Roman" w:hAnsiTheme="majorHAnsi"/>
        </w:rPr>
        <w:t xml:space="preserve">has revised its Policy on Related Party Transactions ("Policy"). This Policy has been adopted by the Board of Directors of the Company based on recommendations of the Audit Committee. Going forward, the Audit Committee would review and amend the Policy, as and when required, subject to the approval of the Board. </w:t>
      </w:r>
    </w:p>
    <w:p w:rsidR="00AC45AE" w:rsidRDefault="00AC45AE" w:rsidP="00AC45AE">
      <w:pPr>
        <w:pStyle w:val="ListParagraph"/>
        <w:numPr>
          <w:ilvl w:val="0"/>
          <w:numId w:val="1"/>
        </w:numPr>
        <w:jc w:val="both"/>
        <w:rPr>
          <w:rFonts w:eastAsia="Times New Roman" w:cstheme="minorHAnsi"/>
          <w:b/>
          <w:u w:val="single"/>
        </w:rPr>
      </w:pPr>
      <w:r w:rsidRPr="00AC45AE">
        <w:rPr>
          <w:rFonts w:eastAsia="Times New Roman" w:cstheme="minorHAnsi"/>
          <w:b/>
          <w:sz w:val="28"/>
          <w:u w:val="single"/>
        </w:rPr>
        <w:t>OBJECTIVE</w:t>
      </w:r>
      <w:r w:rsidRPr="00AC45AE">
        <w:rPr>
          <w:rFonts w:eastAsia="Times New Roman" w:cstheme="minorHAnsi"/>
          <w:b/>
          <w:u w:val="single"/>
        </w:rPr>
        <w:t xml:space="preserve"> </w:t>
      </w:r>
    </w:p>
    <w:p w:rsidR="00AC45AE" w:rsidRDefault="00AC45AE" w:rsidP="00AC45AE">
      <w:pPr>
        <w:pStyle w:val="ListParagraph"/>
        <w:jc w:val="both"/>
        <w:rPr>
          <w:rFonts w:eastAsia="Times New Roman" w:cstheme="minorHAnsi"/>
          <w:b/>
          <w:u w:val="single"/>
        </w:rPr>
      </w:pPr>
    </w:p>
    <w:p w:rsidR="00AC45AE" w:rsidRPr="00AC45AE" w:rsidRDefault="00AC45AE" w:rsidP="00AC45AE">
      <w:pPr>
        <w:pStyle w:val="ListParagraph"/>
        <w:jc w:val="both"/>
        <w:rPr>
          <w:rFonts w:asciiTheme="majorHAnsi" w:eastAsia="Times New Roman" w:hAnsiTheme="majorHAnsi"/>
        </w:rPr>
      </w:pPr>
      <w:r w:rsidRPr="00AC45AE">
        <w:rPr>
          <w:rFonts w:asciiTheme="majorHAnsi" w:eastAsia="Times New Roman" w:hAnsiTheme="majorHAnsi"/>
        </w:rPr>
        <w:t>The objective of the Policy is to ensure compliance by way of proper disclosure, reporting and approval of transactions as applicable between the Company and any of its related party in the best interest of the Company and its stakeholders.</w:t>
      </w:r>
    </w:p>
    <w:p w:rsidR="00AC45AE" w:rsidRDefault="00AC45AE" w:rsidP="00AC45AE">
      <w:pPr>
        <w:pStyle w:val="ListParagraph"/>
        <w:jc w:val="both"/>
        <w:rPr>
          <w:rFonts w:eastAsia="Times New Roman" w:cstheme="minorHAnsi"/>
          <w:b/>
          <w:u w:val="single"/>
        </w:rPr>
      </w:pPr>
    </w:p>
    <w:p w:rsidR="00AC45AE" w:rsidRDefault="00AC45AE" w:rsidP="00AC45AE">
      <w:pPr>
        <w:pStyle w:val="ListParagraph"/>
        <w:numPr>
          <w:ilvl w:val="0"/>
          <w:numId w:val="1"/>
        </w:numPr>
        <w:jc w:val="both"/>
        <w:rPr>
          <w:rFonts w:eastAsia="Times New Roman" w:cstheme="minorHAnsi"/>
          <w:b/>
          <w:sz w:val="28"/>
          <w:u w:val="single"/>
        </w:rPr>
      </w:pPr>
      <w:r w:rsidRPr="00AC45AE">
        <w:rPr>
          <w:rFonts w:eastAsia="Times New Roman" w:cstheme="minorHAnsi"/>
          <w:b/>
          <w:sz w:val="28"/>
          <w:u w:val="single"/>
        </w:rPr>
        <w:t>DEFINITIONS</w:t>
      </w:r>
    </w:p>
    <w:p w:rsidR="00AC45AE" w:rsidRPr="00AC45AE" w:rsidRDefault="00AC45AE" w:rsidP="00AC45AE">
      <w:pPr>
        <w:ind w:left="720"/>
        <w:jc w:val="both"/>
        <w:rPr>
          <w:rFonts w:ascii="Cambria" w:hAnsi="Cambria"/>
        </w:rPr>
      </w:pPr>
      <w:r>
        <w:rPr>
          <w:rFonts w:ascii="Cambria" w:hAnsi="Cambria"/>
          <w:b/>
        </w:rPr>
        <w:t>“</w:t>
      </w:r>
      <w:r w:rsidRPr="00AC45AE">
        <w:rPr>
          <w:rFonts w:ascii="Cambria" w:hAnsi="Cambria"/>
          <w:b/>
        </w:rPr>
        <w:t>Act</w:t>
      </w:r>
      <w:r w:rsidRPr="00AC45AE">
        <w:rPr>
          <w:rFonts w:ascii="Cambria" w:hAnsi="Cambria"/>
        </w:rPr>
        <w:t xml:space="preserve">” means the Companies Act, 2013. </w:t>
      </w:r>
    </w:p>
    <w:p w:rsidR="00AC45AE" w:rsidRPr="00AC45AE" w:rsidRDefault="00AC45AE" w:rsidP="00AC45AE">
      <w:pPr>
        <w:ind w:left="720"/>
        <w:jc w:val="both"/>
        <w:rPr>
          <w:rFonts w:ascii="Cambria" w:hAnsi="Cambria"/>
        </w:rPr>
      </w:pPr>
      <w:r w:rsidRPr="00AC45AE">
        <w:rPr>
          <w:rFonts w:ascii="Cambria" w:hAnsi="Cambria"/>
        </w:rPr>
        <w:t xml:space="preserve"> “</w:t>
      </w:r>
      <w:r w:rsidRPr="00AC45AE">
        <w:rPr>
          <w:rFonts w:ascii="Cambria" w:hAnsi="Cambria"/>
          <w:b/>
        </w:rPr>
        <w:t>Arm’s length transaction</w:t>
      </w:r>
      <w:r w:rsidRPr="00AC45AE">
        <w:rPr>
          <w:rFonts w:ascii="Cambria" w:hAnsi="Cambria"/>
        </w:rPr>
        <w:t xml:space="preserve">” means a transaction between two related parties that is conducted as if they were unrelated, so that there is no conflict of interest. </w:t>
      </w:r>
    </w:p>
    <w:p w:rsidR="00AC45AE" w:rsidRPr="00AC45AE" w:rsidRDefault="00AC45AE" w:rsidP="00AC45AE">
      <w:pPr>
        <w:ind w:left="720"/>
        <w:jc w:val="both"/>
        <w:rPr>
          <w:rFonts w:ascii="Cambria" w:hAnsi="Cambria"/>
        </w:rPr>
      </w:pPr>
      <w:r w:rsidRPr="00AC45AE">
        <w:rPr>
          <w:rFonts w:ascii="Cambria" w:hAnsi="Cambria"/>
        </w:rPr>
        <w:t>“</w:t>
      </w:r>
      <w:r w:rsidRPr="00AC45AE">
        <w:rPr>
          <w:rFonts w:ascii="Cambria" w:hAnsi="Cambria"/>
          <w:b/>
        </w:rPr>
        <w:t>Ordinary course of business</w:t>
      </w:r>
      <w:r w:rsidRPr="00AC45AE">
        <w:rPr>
          <w:rFonts w:ascii="Cambria" w:hAnsi="Cambria"/>
        </w:rPr>
        <w:t xml:space="preserve">” means the usual transactions, customs and practices undertaken by the Company to conduct its business operations and activities and includes all such activities which the company can undertake as per Memorandum &amp; Articles of Association. The Board and Audit Committee may lay down principles for determining ordinary course of business in accordance with statutory requirements and other industry practices and guidelines. </w:t>
      </w:r>
    </w:p>
    <w:p w:rsidR="00AC45AE" w:rsidRDefault="00AC45AE" w:rsidP="00AC45AE">
      <w:pPr>
        <w:ind w:left="720"/>
        <w:jc w:val="both"/>
        <w:rPr>
          <w:rFonts w:ascii="Cambria" w:hAnsi="Cambria"/>
        </w:rPr>
      </w:pPr>
      <w:r w:rsidRPr="00AC45AE">
        <w:rPr>
          <w:rFonts w:ascii="Cambria" w:hAnsi="Cambria"/>
        </w:rPr>
        <w:t>“</w:t>
      </w:r>
      <w:r w:rsidRPr="00AC45AE">
        <w:rPr>
          <w:rFonts w:ascii="Cambria" w:hAnsi="Cambria"/>
          <w:b/>
        </w:rPr>
        <w:t>Company</w:t>
      </w:r>
      <w:r w:rsidRPr="00AC45AE">
        <w:rPr>
          <w:rFonts w:ascii="Cambria" w:hAnsi="Cambria"/>
        </w:rPr>
        <w:t xml:space="preserve">” means </w:t>
      </w:r>
      <w:proofErr w:type="spellStart"/>
      <w:r w:rsidR="002F0B8D">
        <w:rPr>
          <w:rFonts w:ascii="Cambria" w:hAnsi="Cambria"/>
        </w:rPr>
        <w:t>Tirth</w:t>
      </w:r>
      <w:proofErr w:type="spellEnd"/>
      <w:r w:rsidR="002F0B8D">
        <w:rPr>
          <w:rFonts w:ascii="Cambria" w:hAnsi="Cambria"/>
        </w:rPr>
        <w:t xml:space="preserve"> Plastic</w:t>
      </w:r>
      <w:r w:rsidR="00F001EC">
        <w:rPr>
          <w:rFonts w:ascii="Cambria" w:hAnsi="Cambria"/>
        </w:rPr>
        <w:t xml:space="preserve"> </w:t>
      </w:r>
      <w:r w:rsidRPr="00AC45AE">
        <w:rPr>
          <w:rFonts w:ascii="Cambria" w:hAnsi="Cambria"/>
        </w:rPr>
        <w:t>Ltd.</w:t>
      </w:r>
    </w:p>
    <w:p w:rsidR="00AC45AE" w:rsidRPr="00AC45AE" w:rsidRDefault="00AC45AE" w:rsidP="00AC45AE">
      <w:pPr>
        <w:ind w:left="720"/>
        <w:jc w:val="both"/>
        <w:rPr>
          <w:rFonts w:ascii="Cambria" w:hAnsi="Cambria"/>
        </w:rPr>
      </w:pPr>
      <w:r w:rsidRPr="00AC45AE">
        <w:rPr>
          <w:rFonts w:ascii="Cambria" w:hAnsi="Cambria"/>
        </w:rPr>
        <w:t xml:space="preserve"> “</w:t>
      </w:r>
      <w:r w:rsidRPr="00AC45AE">
        <w:rPr>
          <w:rFonts w:ascii="Cambria" w:hAnsi="Cambria"/>
          <w:b/>
        </w:rPr>
        <w:t>Relative”</w:t>
      </w:r>
      <w:r w:rsidRPr="00AC45AE">
        <w:rPr>
          <w:rFonts w:ascii="Cambria" w:hAnsi="Cambria"/>
        </w:rPr>
        <w:t xml:space="preserve"> with reference to a Director or KMP means the person as defined in Section 2(77) of the Act and rules prescribed there</w:t>
      </w:r>
      <w:r>
        <w:rPr>
          <w:rFonts w:ascii="Cambria" w:hAnsi="Cambria"/>
        </w:rPr>
        <w:t xml:space="preserve"> </w:t>
      </w:r>
      <w:r w:rsidRPr="00AC45AE">
        <w:rPr>
          <w:rFonts w:ascii="Cambria" w:hAnsi="Cambria"/>
        </w:rPr>
        <w:t>under.</w:t>
      </w:r>
    </w:p>
    <w:p w:rsidR="00AC45AE" w:rsidRPr="00AC45AE" w:rsidRDefault="00AC45AE" w:rsidP="00AC45AE">
      <w:pPr>
        <w:ind w:left="720"/>
        <w:jc w:val="both"/>
        <w:rPr>
          <w:rFonts w:ascii="Cambria" w:hAnsi="Cambria"/>
        </w:rPr>
      </w:pPr>
      <w:r w:rsidRPr="00AC45AE">
        <w:rPr>
          <w:rFonts w:ascii="Cambria" w:hAnsi="Cambria"/>
        </w:rPr>
        <w:t xml:space="preserve"> “</w:t>
      </w:r>
      <w:r w:rsidRPr="00AC45AE">
        <w:rPr>
          <w:rFonts w:ascii="Cambria" w:hAnsi="Cambria"/>
          <w:b/>
        </w:rPr>
        <w:t>Related Party”</w:t>
      </w:r>
      <w:r w:rsidRPr="00AC45AE">
        <w:rPr>
          <w:rFonts w:ascii="Cambria" w:hAnsi="Cambria"/>
        </w:rPr>
        <w:t xml:space="preserve"> means an individual, entity, firm, body corporate or person as defined in Section 2(76) of the Act. </w:t>
      </w:r>
    </w:p>
    <w:p w:rsidR="00AC45AE" w:rsidRPr="00AC45AE" w:rsidRDefault="00AC45AE" w:rsidP="00AC45AE">
      <w:pPr>
        <w:ind w:left="720"/>
        <w:jc w:val="both"/>
        <w:rPr>
          <w:rFonts w:ascii="Cambria" w:hAnsi="Cambria"/>
        </w:rPr>
      </w:pPr>
      <w:r w:rsidRPr="00AC45AE">
        <w:rPr>
          <w:rFonts w:ascii="Cambria" w:hAnsi="Cambria"/>
        </w:rPr>
        <w:lastRenderedPageBreak/>
        <w:t>“</w:t>
      </w:r>
      <w:r w:rsidRPr="00AC45AE">
        <w:rPr>
          <w:rFonts w:ascii="Cambria" w:hAnsi="Cambria"/>
          <w:b/>
        </w:rPr>
        <w:t>Related party transaction</w:t>
      </w:r>
      <w:r w:rsidRPr="00AC45AE">
        <w:rPr>
          <w:rFonts w:ascii="Cambria" w:hAnsi="Cambria"/>
        </w:rPr>
        <w:t>” is a transfer of resources, services or obligations between a company and a related party, regardless of whether a price is charged, including but not limited to the following:</w:t>
      </w:r>
    </w:p>
    <w:p w:rsidR="00AC45AE" w:rsidRPr="00AC45AE" w:rsidRDefault="00AC45AE" w:rsidP="00AC45AE">
      <w:pPr>
        <w:pStyle w:val="ListParagraph"/>
        <w:numPr>
          <w:ilvl w:val="0"/>
          <w:numId w:val="2"/>
        </w:numPr>
        <w:ind w:firstLine="0"/>
        <w:jc w:val="both"/>
        <w:rPr>
          <w:rFonts w:ascii="Cambria" w:hAnsi="Cambria"/>
        </w:rPr>
      </w:pPr>
      <w:r w:rsidRPr="00AC45AE">
        <w:rPr>
          <w:rFonts w:ascii="Cambria" w:hAnsi="Cambria"/>
        </w:rPr>
        <w:t>Sale, purchase or supply of any goods or materials;</w:t>
      </w:r>
    </w:p>
    <w:p w:rsidR="00AC45AE" w:rsidRPr="00AC45AE" w:rsidRDefault="00AC45AE" w:rsidP="00AC45AE">
      <w:pPr>
        <w:pStyle w:val="ListParagraph"/>
        <w:numPr>
          <w:ilvl w:val="0"/>
          <w:numId w:val="2"/>
        </w:numPr>
        <w:ind w:firstLine="0"/>
        <w:jc w:val="both"/>
        <w:rPr>
          <w:rFonts w:ascii="Cambria" w:hAnsi="Cambria"/>
        </w:rPr>
      </w:pPr>
      <w:r w:rsidRPr="00AC45AE">
        <w:rPr>
          <w:rFonts w:ascii="Cambria" w:hAnsi="Cambria"/>
        </w:rPr>
        <w:t xml:space="preserve">Selling or otherwise disposing of, or buying, property of any kind; </w:t>
      </w:r>
    </w:p>
    <w:p w:rsidR="00AC45AE" w:rsidRPr="00AC45AE" w:rsidRDefault="00AC45AE" w:rsidP="00AC45AE">
      <w:pPr>
        <w:pStyle w:val="ListParagraph"/>
        <w:numPr>
          <w:ilvl w:val="0"/>
          <w:numId w:val="2"/>
        </w:numPr>
        <w:ind w:firstLine="0"/>
        <w:jc w:val="both"/>
        <w:rPr>
          <w:rFonts w:ascii="Cambria" w:hAnsi="Cambria"/>
        </w:rPr>
      </w:pPr>
      <w:r w:rsidRPr="00AC45AE">
        <w:rPr>
          <w:rFonts w:ascii="Cambria" w:hAnsi="Cambria"/>
        </w:rPr>
        <w:t>Leasing of property of any kind;</w:t>
      </w:r>
    </w:p>
    <w:p w:rsidR="00AC45AE" w:rsidRPr="00AC45AE" w:rsidRDefault="00AC45AE" w:rsidP="00AC45AE">
      <w:pPr>
        <w:pStyle w:val="ListParagraph"/>
        <w:numPr>
          <w:ilvl w:val="0"/>
          <w:numId w:val="2"/>
        </w:numPr>
        <w:ind w:firstLine="0"/>
        <w:jc w:val="both"/>
        <w:rPr>
          <w:rFonts w:ascii="Cambria" w:hAnsi="Cambria"/>
        </w:rPr>
      </w:pPr>
      <w:r w:rsidRPr="00AC45AE">
        <w:rPr>
          <w:rFonts w:ascii="Cambria" w:hAnsi="Cambria"/>
        </w:rPr>
        <w:t xml:space="preserve">Availing or rendering of any services; </w:t>
      </w:r>
    </w:p>
    <w:p w:rsidR="00AC45AE" w:rsidRPr="00AC45AE" w:rsidRDefault="00AC45AE" w:rsidP="00AC45AE">
      <w:pPr>
        <w:pStyle w:val="ListParagraph"/>
        <w:numPr>
          <w:ilvl w:val="0"/>
          <w:numId w:val="2"/>
        </w:numPr>
        <w:ind w:firstLine="0"/>
        <w:jc w:val="both"/>
        <w:rPr>
          <w:rFonts w:ascii="Cambria" w:hAnsi="Cambria"/>
        </w:rPr>
      </w:pPr>
      <w:r w:rsidRPr="00AC45AE">
        <w:rPr>
          <w:rFonts w:ascii="Cambria" w:hAnsi="Cambria"/>
        </w:rPr>
        <w:t xml:space="preserve">Appointment of any agent for purchase or sale of goods, materials, services or property; </w:t>
      </w:r>
    </w:p>
    <w:p w:rsidR="00AC45AE" w:rsidRPr="00AC45AE" w:rsidRDefault="00AC45AE" w:rsidP="00AC45AE">
      <w:pPr>
        <w:pStyle w:val="ListParagraph"/>
        <w:numPr>
          <w:ilvl w:val="0"/>
          <w:numId w:val="2"/>
        </w:numPr>
        <w:ind w:firstLine="0"/>
        <w:jc w:val="both"/>
      </w:pPr>
      <w:r w:rsidRPr="00AC45AE">
        <w:rPr>
          <w:rFonts w:ascii="Cambria" w:hAnsi="Cambria"/>
        </w:rPr>
        <w:t xml:space="preserve">Appointment to any office or place of profit in the company </w:t>
      </w:r>
      <w:proofErr w:type="gramStart"/>
      <w:r w:rsidRPr="00AC45AE">
        <w:rPr>
          <w:rFonts w:ascii="Cambria" w:hAnsi="Cambria"/>
        </w:rPr>
        <w:t>A</w:t>
      </w:r>
      <w:proofErr w:type="gramEnd"/>
      <w:r w:rsidRPr="00AC45AE">
        <w:rPr>
          <w:rFonts w:ascii="Cambria" w:hAnsi="Cambria"/>
        </w:rPr>
        <w:t xml:space="preserve"> transaction shall be construed to include a single transaction or a group of transactions in a contract. </w:t>
      </w:r>
    </w:p>
    <w:p w:rsidR="00AC45AE" w:rsidRPr="00AC45AE" w:rsidRDefault="00AC45AE" w:rsidP="00AC45AE">
      <w:pPr>
        <w:ind w:left="720"/>
        <w:jc w:val="both"/>
        <w:rPr>
          <w:rFonts w:ascii="Cambria" w:hAnsi="Cambria"/>
        </w:rPr>
      </w:pPr>
      <w:r w:rsidRPr="00AC45AE">
        <w:rPr>
          <w:rFonts w:ascii="Cambria" w:hAnsi="Cambria"/>
        </w:rPr>
        <w:t xml:space="preserve"> “</w:t>
      </w:r>
      <w:r w:rsidRPr="00AC45AE">
        <w:rPr>
          <w:rFonts w:ascii="Cambria" w:hAnsi="Cambria"/>
          <w:b/>
        </w:rPr>
        <w:t>Material Related Party Transactions</w:t>
      </w:r>
      <w:r w:rsidRPr="00AC45AE">
        <w:rPr>
          <w:rFonts w:ascii="Cambria" w:hAnsi="Cambria"/>
        </w:rPr>
        <w:t>” shall mean a</w:t>
      </w:r>
      <w:r w:rsidRPr="00AC45AE">
        <w:rPr>
          <w:rFonts w:asciiTheme="majorHAnsi" w:hAnsiTheme="majorHAnsi"/>
          <w:sz w:val="18"/>
        </w:rPr>
        <w:t xml:space="preserve"> </w:t>
      </w:r>
      <w:r w:rsidRPr="00AC45AE">
        <w:rPr>
          <w:rFonts w:asciiTheme="majorHAnsi" w:eastAsia="Times New Roman" w:hAnsiTheme="majorHAnsi" w:cs="Arial"/>
          <w:szCs w:val="25"/>
        </w:rPr>
        <w:t>with a related party shall be considered material if</w:t>
      </w:r>
      <w:r>
        <w:rPr>
          <w:rFonts w:asciiTheme="majorHAnsi" w:eastAsia="Times New Roman" w:hAnsiTheme="majorHAnsi" w:cs="Arial"/>
          <w:szCs w:val="25"/>
        </w:rPr>
        <w:t xml:space="preserve"> </w:t>
      </w:r>
      <w:r w:rsidRPr="00AC45AE">
        <w:rPr>
          <w:rFonts w:asciiTheme="majorHAnsi" w:eastAsia="Times New Roman" w:hAnsiTheme="majorHAnsi" w:cs="Arial"/>
          <w:szCs w:val="25"/>
        </w:rPr>
        <w:t>the transaction(s) to be entered into individually or taken together with previous transactions during a financial year, exceeds ten percent of the annual consolidated turnover of the listed entity as per the last audited financial statements of the listed entity</w:t>
      </w:r>
      <w:r>
        <w:rPr>
          <w:rFonts w:asciiTheme="majorHAnsi" w:eastAsia="Times New Roman" w:hAnsiTheme="majorHAnsi" w:cs="Arial"/>
          <w:szCs w:val="25"/>
        </w:rPr>
        <w:t>.</w:t>
      </w:r>
    </w:p>
    <w:p w:rsidR="00AC45AE" w:rsidRPr="00AC45AE" w:rsidRDefault="00AC45AE" w:rsidP="00AC45AE">
      <w:pPr>
        <w:ind w:left="720"/>
        <w:jc w:val="both"/>
        <w:rPr>
          <w:rFonts w:ascii="Cambria" w:hAnsi="Cambria"/>
        </w:rPr>
      </w:pPr>
      <w:r w:rsidRPr="00AC45AE">
        <w:rPr>
          <w:rFonts w:ascii="Cambria" w:hAnsi="Cambria"/>
        </w:rPr>
        <w:t>“</w:t>
      </w:r>
      <w:r w:rsidRPr="00AC45AE">
        <w:rPr>
          <w:rFonts w:ascii="Cambria" w:hAnsi="Cambria"/>
          <w:b/>
        </w:rPr>
        <w:t>Key Managerial Personnel</w:t>
      </w:r>
      <w:r w:rsidRPr="00AC45AE">
        <w:rPr>
          <w:rFonts w:ascii="Cambria" w:hAnsi="Cambria"/>
        </w:rPr>
        <w:t xml:space="preserve">” shall mean the officers/employees of the Company as defined in Section 2(51) of the Companies Act, 2013. </w:t>
      </w:r>
    </w:p>
    <w:p w:rsidR="00AC45AE" w:rsidRPr="00AC45AE" w:rsidRDefault="00AC45AE" w:rsidP="00AC45AE">
      <w:pPr>
        <w:ind w:left="720"/>
        <w:jc w:val="both"/>
        <w:rPr>
          <w:rFonts w:ascii="Cambria" w:hAnsi="Cambria"/>
        </w:rPr>
      </w:pPr>
      <w:r w:rsidRPr="00AC45AE">
        <w:rPr>
          <w:rFonts w:ascii="Cambria" w:hAnsi="Cambria"/>
        </w:rPr>
        <w:t>“</w:t>
      </w:r>
      <w:r w:rsidRPr="00AC45AE">
        <w:rPr>
          <w:rFonts w:ascii="Cambria" w:hAnsi="Cambria"/>
          <w:b/>
        </w:rPr>
        <w:t>Employees</w:t>
      </w:r>
      <w:r w:rsidRPr="00AC45AE">
        <w:rPr>
          <w:rFonts w:ascii="Cambria" w:hAnsi="Cambria"/>
        </w:rPr>
        <w:t xml:space="preserve">” shall mean the employees and office-bearers of the Company, including but not limited to Directors. </w:t>
      </w:r>
    </w:p>
    <w:p w:rsidR="00AC45AE" w:rsidRPr="00AC45AE" w:rsidRDefault="00AC45AE" w:rsidP="00AC45AE">
      <w:pPr>
        <w:ind w:left="720"/>
        <w:jc w:val="both"/>
        <w:rPr>
          <w:rFonts w:ascii="Cambria" w:hAnsi="Cambria"/>
        </w:rPr>
      </w:pPr>
      <w:r w:rsidRPr="00AC45AE">
        <w:rPr>
          <w:rFonts w:ascii="Cambria" w:hAnsi="Cambria"/>
        </w:rPr>
        <w:t>“</w:t>
      </w:r>
      <w:r w:rsidRPr="00AC45AE">
        <w:rPr>
          <w:rFonts w:ascii="Cambria" w:hAnsi="Cambria"/>
          <w:b/>
        </w:rPr>
        <w:t>Director</w:t>
      </w:r>
      <w:r w:rsidRPr="00AC45AE">
        <w:rPr>
          <w:rFonts w:ascii="Cambria" w:hAnsi="Cambria"/>
        </w:rPr>
        <w:t xml:space="preserve">” means a person as defined in Section 2(34) of the Companies Act, 2013. </w:t>
      </w:r>
    </w:p>
    <w:p w:rsidR="00AC45AE" w:rsidRDefault="00AC45AE" w:rsidP="00AC45AE">
      <w:pPr>
        <w:ind w:left="720"/>
        <w:jc w:val="both"/>
        <w:rPr>
          <w:rFonts w:ascii="Cambria" w:hAnsi="Cambria"/>
        </w:rPr>
      </w:pPr>
      <w:r w:rsidRPr="00AC45AE">
        <w:rPr>
          <w:rFonts w:ascii="Cambria" w:hAnsi="Cambria"/>
        </w:rPr>
        <w:t>“</w:t>
      </w:r>
      <w:r w:rsidRPr="00AC45AE">
        <w:rPr>
          <w:rFonts w:ascii="Cambria" w:hAnsi="Cambria"/>
          <w:b/>
        </w:rPr>
        <w:t>Audit Committee</w:t>
      </w:r>
      <w:r w:rsidRPr="00AC45AE">
        <w:rPr>
          <w:rFonts w:ascii="Cambria" w:hAnsi="Cambria"/>
        </w:rPr>
        <w:t>” means the Committee of the Board formed under section 177 of the Act and</w:t>
      </w:r>
      <w:r>
        <w:rPr>
          <w:rFonts w:ascii="Cambria" w:hAnsi="Cambria"/>
        </w:rPr>
        <w:t xml:space="preserve"> Regulation 18 of SEBI (LODR) Regulations, 2015</w:t>
      </w:r>
      <w:r w:rsidRPr="00AC45AE">
        <w:rPr>
          <w:rFonts w:ascii="Cambria" w:hAnsi="Cambria"/>
        </w:rPr>
        <w:t>.</w:t>
      </w:r>
    </w:p>
    <w:p w:rsidR="00AC45AE" w:rsidRDefault="00AC45AE" w:rsidP="00AC45AE">
      <w:pPr>
        <w:ind w:left="720"/>
        <w:jc w:val="both"/>
        <w:rPr>
          <w:rFonts w:ascii="Cambria" w:hAnsi="Cambria"/>
        </w:rPr>
      </w:pPr>
      <w:r w:rsidRPr="00AC45AE">
        <w:rPr>
          <w:rFonts w:ascii="Cambria" w:hAnsi="Cambria"/>
        </w:rPr>
        <w:t xml:space="preserve"> Any other term not defined herein shall have the same meaning as defined in the Companies Act, 2013</w:t>
      </w:r>
      <w:r>
        <w:rPr>
          <w:rFonts w:ascii="Cambria" w:hAnsi="Cambria"/>
        </w:rPr>
        <w:t>, SEBI (LODR) Regulations, 2015 or</w:t>
      </w:r>
      <w:r w:rsidRPr="00AC45AE">
        <w:rPr>
          <w:rFonts w:ascii="Cambria" w:hAnsi="Cambria"/>
        </w:rPr>
        <w:t xml:space="preserve"> any other applicable regulation.</w:t>
      </w:r>
    </w:p>
    <w:p w:rsidR="00AC45AE" w:rsidRDefault="00F0491C" w:rsidP="00F0491C">
      <w:pPr>
        <w:pStyle w:val="ListParagraph"/>
        <w:numPr>
          <w:ilvl w:val="0"/>
          <w:numId w:val="1"/>
        </w:numPr>
        <w:jc w:val="both"/>
        <w:rPr>
          <w:rFonts w:cstheme="minorHAnsi"/>
          <w:b/>
          <w:sz w:val="28"/>
          <w:u w:val="single"/>
        </w:rPr>
      </w:pPr>
      <w:r>
        <w:rPr>
          <w:rFonts w:cstheme="minorHAnsi"/>
          <w:b/>
          <w:sz w:val="28"/>
          <w:u w:val="single"/>
        </w:rPr>
        <w:t xml:space="preserve">RELATED PARTY TRANSACTION </w:t>
      </w:r>
      <w:r w:rsidRPr="00F0491C">
        <w:rPr>
          <w:rFonts w:cstheme="minorHAnsi"/>
          <w:b/>
          <w:sz w:val="28"/>
          <w:u w:val="single"/>
        </w:rPr>
        <w:t>POLICY</w:t>
      </w:r>
    </w:p>
    <w:p w:rsidR="00F0491C" w:rsidRDefault="00F0491C" w:rsidP="00F0491C">
      <w:pPr>
        <w:pStyle w:val="ListParagraph"/>
        <w:jc w:val="both"/>
        <w:rPr>
          <w:rFonts w:cstheme="minorHAnsi"/>
          <w:b/>
          <w:sz w:val="28"/>
          <w:u w:val="single"/>
        </w:rPr>
      </w:pPr>
    </w:p>
    <w:p w:rsidR="00F0491C" w:rsidRDefault="00F0491C" w:rsidP="00F0491C">
      <w:pPr>
        <w:pStyle w:val="ListParagraph"/>
        <w:spacing w:after="0" w:line="240" w:lineRule="auto"/>
        <w:jc w:val="both"/>
        <w:rPr>
          <w:rFonts w:asciiTheme="majorHAnsi" w:eastAsia="Times New Roman" w:hAnsiTheme="majorHAnsi" w:cs="Arial"/>
          <w:szCs w:val="25"/>
        </w:rPr>
      </w:pPr>
      <w:r w:rsidRPr="00F0491C">
        <w:rPr>
          <w:rFonts w:asciiTheme="majorHAnsi" w:eastAsia="Times New Roman" w:hAnsiTheme="majorHAnsi" w:cs="Arial"/>
          <w:szCs w:val="25"/>
        </w:rPr>
        <w:t xml:space="preserve">All Related Party Transactions must be reported to the Audit Committee and referred for approval by the Committee in accordance with this Policy. </w:t>
      </w:r>
    </w:p>
    <w:p w:rsidR="00F0491C" w:rsidRDefault="00F0491C" w:rsidP="00F0491C">
      <w:pPr>
        <w:pStyle w:val="ListParagraph"/>
        <w:spacing w:after="0" w:line="240" w:lineRule="auto"/>
        <w:jc w:val="both"/>
        <w:rPr>
          <w:rFonts w:asciiTheme="majorHAnsi" w:eastAsia="Times New Roman" w:hAnsiTheme="majorHAnsi" w:cs="Arial"/>
          <w:szCs w:val="25"/>
        </w:rPr>
      </w:pPr>
    </w:p>
    <w:p w:rsidR="00F0491C" w:rsidRPr="007C2EB6" w:rsidRDefault="007C2EB6" w:rsidP="00F0491C">
      <w:pPr>
        <w:spacing w:after="0" w:line="240" w:lineRule="auto"/>
        <w:ind w:left="720"/>
        <w:rPr>
          <w:rFonts w:eastAsia="Times New Roman" w:cstheme="minorHAnsi"/>
          <w:b/>
          <w:szCs w:val="25"/>
          <w:u w:val="single"/>
        </w:rPr>
      </w:pPr>
      <w:r w:rsidRPr="007C2EB6">
        <w:rPr>
          <w:rFonts w:eastAsia="Times New Roman" w:cstheme="minorHAnsi"/>
          <w:b/>
          <w:szCs w:val="25"/>
          <w:u w:val="single"/>
        </w:rPr>
        <w:t>ROLE OF AUDIT COMMITTEE</w:t>
      </w:r>
    </w:p>
    <w:p w:rsidR="00F0491C" w:rsidRPr="00F0491C" w:rsidRDefault="00F0491C" w:rsidP="00F0491C">
      <w:pPr>
        <w:spacing w:after="0" w:line="240" w:lineRule="auto"/>
        <w:ind w:left="720"/>
        <w:rPr>
          <w:rFonts w:ascii="Arial" w:eastAsia="Times New Roman" w:hAnsi="Arial" w:cs="Arial"/>
          <w:sz w:val="25"/>
          <w:szCs w:val="25"/>
        </w:rPr>
      </w:pPr>
      <w:r>
        <w:rPr>
          <w:rFonts w:ascii="Arial" w:eastAsia="Times New Roman" w:hAnsi="Arial" w:cs="Arial"/>
          <w:sz w:val="25"/>
          <w:szCs w:val="25"/>
        </w:rPr>
        <w:t xml:space="preserve"> </w:t>
      </w:r>
    </w:p>
    <w:p w:rsidR="00F0491C" w:rsidRPr="007C2EB6" w:rsidRDefault="00F0491C" w:rsidP="007C2EB6">
      <w:pPr>
        <w:pStyle w:val="ListParagraph"/>
        <w:numPr>
          <w:ilvl w:val="0"/>
          <w:numId w:val="3"/>
        </w:numPr>
        <w:jc w:val="both"/>
        <w:rPr>
          <w:rFonts w:asciiTheme="majorHAnsi" w:eastAsia="Times New Roman" w:hAnsiTheme="majorHAnsi"/>
        </w:rPr>
      </w:pPr>
      <w:r w:rsidRPr="007C2EB6">
        <w:rPr>
          <w:rFonts w:asciiTheme="majorHAnsi" w:eastAsia="Times New Roman" w:hAnsiTheme="majorHAnsi"/>
        </w:rPr>
        <w:t>All transactions which are identified as a related party transactions (‘RPT’) should be pre-approved by the Audit Committee before entering into such transaction. The Audit Committee shall consider all relevant factors while deliberating the RPTs for its approval.</w:t>
      </w:r>
    </w:p>
    <w:p w:rsidR="00F0491C" w:rsidRDefault="00F0491C" w:rsidP="007C2EB6">
      <w:pPr>
        <w:pStyle w:val="ListParagraph"/>
        <w:numPr>
          <w:ilvl w:val="0"/>
          <w:numId w:val="3"/>
        </w:numPr>
        <w:jc w:val="both"/>
        <w:rPr>
          <w:rFonts w:asciiTheme="majorHAnsi" w:eastAsia="Times New Roman" w:hAnsiTheme="majorHAnsi"/>
        </w:rPr>
      </w:pPr>
      <w:r w:rsidRPr="007C2EB6">
        <w:rPr>
          <w:rFonts w:asciiTheme="majorHAnsi" w:eastAsia="Times New Roman" w:hAnsiTheme="majorHAnsi"/>
        </w:rPr>
        <w:t>All RPTs shall require prior approval of the Audit Committee. Approvals may be of the following two types:</w:t>
      </w:r>
    </w:p>
    <w:p w:rsidR="007C2EB6" w:rsidRPr="00F0491C" w:rsidRDefault="007C2EB6" w:rsidP="007C2EB6">
      <w:pPr>
        <w:ind w:left="1080"/>
        <w:jc w:val="both"/>
        <w:rPr>
          <w:rFonts w:asciiTheme="majorHAnsi" w:eastAsia="Times New Roman" w:hAnsiTheme="majorHAnsi"/>
        </w:rPr>
      </w:pPr>
      <w:r w:rsidRPr="00F0491C">
        <w:rPr>
          <w:rFonts w:asciiTheme="majorHAnsi" w:eastAsia="Times New Roman" w:hAnsiTheme="majorHAnsi"/>
        </w:rPr>
        <w:lastRenderedPageBreak/>
        <w:t xml:space="preserve">a. Specific approval, in case of each RPT, where the RPT is non-repetitive in nature; and </w:t>
      </w:r>
    </w:p>
    <w:p w:rsidR="007C2EB6" w:rsidRDefault="007C2EB6" w:rsidP="007C2EB6">
      <w:pPr>
        <w:ind w:left="1080"/>
        <w:jc w:val="both"/>
        <w:rPr>
          <w:rFonts w:asciiTheme="majorHAnsi" w:eastAsia="Times New Roman" w:hAnsiTheme="majorHAnsi"/>
        </w:rPr>
      </w:pPr>
      <w:r w:rsidRPr="00F0491C">
        <w:rPr>
          <w:rFonts w:asciiTheme="majorHAnsi" w:eastAsia="Times New Roman" w:hAnsiTheme="majorHAnsi"/>
        </w:rPr>
        <w:t>b. Omnibus approval, in case of such RPTs which are repetitive in nature. However such omnibus approval must be given by the A</w:t>
      </w:r>
      <w:r>
        <w:rPr>
          <w:rFonts w:asciiTheme="majorHAnsi" w:eastAsia="Times New Roman" w:hAnsiTheme="majorHAnsi"/>
        </w:rPr>
        <w:t xml:space="preserve">udit </w:t>
      </w:r>
      <w:r w:rsidRPr="00F0491C">
        <w:rPr>
          <w:rFonts w:asciiTheme="majorHAnsi" w:eastAsia="Times New Roman" w:hAnsiTheme="majorHAnsi"/>
        </w:rPr>
        <w:t>C</w:t>
      </w:r>
      <w:r>
        <w:rPr>
          <w:rFonts w:asciiTheme="majorHAnsi" w:eastAsia="Times New Roman" w:hAnsiTheme="majorHAnsi"/>
        </w:rPr>
        <w:t>ommittee</w:t>
      </w:r>
      <w:r w:rsidRPr="00F0491C">
        <w:rPr>
          <w:rFonts w:asciiTheme="majorHAnsi" w:eastAsia="Times New Roman" w:hAnsiTheme="majorHAnsi"/>
        </w:rPr>
        <w:t xml:space="preserve"> subject to the requirements under Regulation 23(3) of the Regulations and the criteria lay down by the A</w:t>
      </w:r>
      <w:r>
        <w:rPr>
          <w:rFonts w:asciiTheme="majorHAnsi" w:eastAsia="Times New Roman" w:hAnsiTheme="majorHAnsi"/>
        </w:rPr>
        <w:t xml:space="preserve">udit </w:t>
      </w:r>
      <w:r w:rsidRPr="00F0491C">
        <w:rPr>
          <w:rFonts w:asciiTheme="majorHAnsi" w:eastAsia="Times New Roman" w:hAnsiTheme="majorHAnsi"/>
        </w:rPr>
        <w:t>C</w:t>
      </w:r>
      <w:r>
        <w:rPr>
          <w:rFonts w:asciiTheme="majorHAnsi" w:eastAsia="Times New Roman" w:hAnsiTheme="majorHAnsi"/>
        </w:rPr>
        <w:t>ommittee</w:t>
      </w:r>
      <w:r w:rsidRPr="00F0491C">
        <w:rPr>
          <w:rFonts w:asciiTheme="majorHAnsi" w:eastAsia="Times New Roman" w:hAnsiTheme="majorHAnsi"/>
        </w:rPr>
        <w:t xml:space="preserve"> with respect to granting of the omnibus approval</w:t>
      </w:r>
      <w:r>
        <w:rPr>
          <w:rFonts w:asciiTheme="majorHAnsi" w:eastAsia="Times New Roman" w:hAnsiTheme="majorHAnsi"/>
        </w:rPr>
        <w:t>.</w:t>
      </w:r>
    </w:p>
    <w:p w:rsidR="007C2EB6" w:rsidRPr="007C2EB6" w:rsidRDefault="007C2EB6" w:rsidP="00C70A51">
      <w:pPr>
        <w:ind w:left="1080" w:hanging="360"/>
        <w:jc w:val="both"/>
        <w:rPr>
          <w:rFonts w:eastAsia="Times New Roman" w:cstheme="minorHAnsi"/>
          <w:b/>
          <w:u w:val="single"/>
        </w:rPr>
      </w:pPr>
      <w:r w:rsidRPr="007C2EB6">
        <w:rPr>
          <w:rFonts w:eastAsia="Times New Roman" w:cstheme="minorHAnsi"/>
          <w:b/>
          <w:u w:val="single"/>
        </w:rPr>
        <w:t>OMNIBUS APPROVAL BY AUDIT COMMITTEE</w:t>
      </w:r>
    </w:p>
    <w:p w:rsidR="007C2EB6" w:rsidRDefault="007C2EB6" w:rsidP="007C2EB6">
      <w:pPr>
        <w:ind w:left="1080"/>
        <w:jc w:val="both"/>
        <w:rPr>
          <w:rFonts w:asciiTheme="majorHAnsi" w:hAnsiTheme="majorHAnsi"/>
        </w:rPr>
      </w:pPr>
      <w:r w:rsidRPr="007C2EB6">
        <w:rPr>
          <w:rFonts w:asciiTheme="majorHAnsi" w:hAnsiTheme="majorHAnsi"/>
        </w:rPr>
        <w:t>The Audit Committee may grant omnibus approval for Related Party Transactions proposed to be entered into by the company subject to the following conditions:</w:t>
      </w:r>
    </w:p>
    <w:p w:rsidR="007C2EB6" w:rsidRDefault="007C2EB6" w:rsidP="007C2EB6">
      <w:pPr>
        <w:ind w:left="1080"/>
        <w:jc w:val="both"/>
        <w:rPr>
          <w:rFonts w:asciiTheme="majorHAnsi" w:hAnsiTheme="majorHAnsi"/>
        </w:rPr>
      </w:pPr>
      <w:r w:rsidRPr="007C2EB6">
        <w:rPr>
          <w:rFonts w:asciiTheme="majorHAnsi" w:hAnsiTheme="majorHAnsi"/>
        </w:rPr>
        <w:t xml:space="preserve"> a. The Audit Committee shall lay down the criteria for granting the omnibus approval in line with the policy on Related Party Transactions of the company and such approval shall be applicable in respect of transactions which are repetitive in nature. </w:t>
      </w:r>
    </w:p>
    <w:p w:rsidR="007C2EB6" w:rsidRPr="007C2EB6" w:rsidRDefault="007C2EB6" w:rsidP="007C2EB6">
      <w:pPr>
        <w:ind w:left="1080"/>
        <w:jc w:val="both"/>
        <w:rPr>
          <w:rFonts w:asciiTheme="majorHAnsi" w:hAnsiTheme="majorHAnsi"/>
        </w:rPr>
      </w:pPr>
      <w:r w:rsidRPr="007C2EB6">
        <w:rPr>
          <w:rFonts w:asciiTheme="majorHAnsi" w:hAnsiTheme="majorHAnsi"/>
        </w:rPr>
        <w:t>b. The Audit Committee shall satisfy itself the need for such omnibus approval and that such approval is in the interest of the company;</w:t>
      </w:r>
    </w:p>
    <w:p w:rsidR="007C2EB6" w:rsidRPr="007C2EB6" w:rsidRDefault="007C2EB6" w:rsidP="007C2EB6">
      <w:pPr>
        <w:ind w:left="1080"/>
        <w:jc w:val="both"/>
        <w:rPr>
          <w:rFonts w:asciiTheme="majorHAnsi" w:hAnsiTheme="majorHAnsi"/>
        </w:rPr>
      </w:pPr>
      <w:r w:rsidRPr="007C2EB6">
        <w:rPr>
          <w:rFonts w:asciiTheme="majorHAnsi" w:hAnsiTheme="majorHAnsi"/>
        </w:rPr>
        <w:t>c. Such omnibus approval shall specify (</w:t>
      </w:r>
      <w:proofErr w:type="spellStart"/>
      <w:r w:rsidRPr="007C2EB6">
        <w:rPr>
          <w:rFonts w:asciiTheme="majorHAnsi" w:hAnsiTheme="majorHAnsi"/>
        </w:rPr>
        <w:t>i</w:t>
      </w:r>
      <w:proofErr w:type="spellEnd"/>
      <w:r w:rsidRPr="007C2EB6">
        <w:rPr>
          <w:rFonts w:asciiTheme="majorHAnsi" w:hAnsiTheme="majorHAnsi"/>
        </w:rPr>
        <w:t xml:space="preserve">) the name/s of the related party, nature of transaction, period of transaction, maximum amount of transaction that can be entered into, (ii) the indicative base price / current contracted price and the formula for variation in the price if any and (iii) such other conditions as the Audit Committee may deem fit; Provided that where the need for Related Party Transaction cannot be foreseen and aforesaid details are not available, Audit Committee may grant omnibus approval for such transactions subject to their value not exceeding Rs.1 </w:t>
      </w:r>
      <w:proofErr w:type="spellStart"/>
      <w:r w:rsidRPr="007C2EB6">
        <w:rPr>
          <w:rFonts w:asciiTheme="majorHAnsi" w:hAnsiTheme="majorHAnsi"/>
        </w:rPr>
        <w:t>crore</w:t>
      </w:r>
      <w:proofErr w:type="spellEnd"/>
      <w:r w:rsidRPr="007C2EB6">
        <w:rPr>
          <w:rFonts w:asciiTheme="majorHAnsi" w:hAnsiTheme="majorHAnsi"/>
        </w:rPr>
        <w:t xml:space="preserve"> per transaction. </w:t>
      </w:r>
    </w:p>
    <w:p w:rsidR="007C2EB6" w:rsidRPr="007C2EB6" w:rsidRDefault="007C2EB6" w:rsidP="007C2EB6">
      <w:pPr>
        <w:ind w:left="1080"/>
        <w:jc w:val="both"/>
        <w:rPr>
          <w:rFonts w:asciiTheme="majorHAnsi" w:hAnsiTheme="majorHAnsi"/>
        </w:rPr>
      </w:pPr>
      <w:proofErr w:type="gramStart"/>
      <w:r w:rsidRPr="007C2EB6">
        <w:rPr>
          <w:rFonts w:asciiTheme="majorHAnsi" w:hAnsiTheme="majorHAnsi"/>
        </w:rPr>
        <w:t>d</w:t>
      </w:r>
      <w:proofErr w:type="gramEnd"/>
      <w:r w:rsidRPr="007C2EB6">
        <w:rPr>
          <w:rFonts w:asciiTheme="majorHAnsi" w:hAnsiTheme="majorHAnsi"/>
        </w:rPr>
        <w:t>. Audit Committee shall review, at</w:t>
      </w:r>
      <w:r>
        <w:rPr>
          <w:rFonts w:asciiTheme="majorHAnsi" w:hAnsiTheme="majorHAnsi"/>
        </w:rPr>
        <w:t xml:space="preserve"> </w:t>
      </w:r>
      <w:r w:rsidRPr="007C2EB6">
        <w:rPr>
          <w:rFonts w:asciiTheme="majorHAnsi" w:hAnsiTheme="majorHAnsi"/>
        </w:rPr>
        <w:t>least on a quarterly basis, the details of RPTs entered into by the company pursuant to each of the omnibus approval given.</w:t>
      </w:r>
    </w:p>
    <w:p w:rsidR="007C2EB6" w:rsidRDefault="007C2EB6" w:rsidP="007C2EB6">
      <w:pPr>
        <w:ind w:left="1080"/>
        <w:jc w:val="both"/>
        <w:rPr>
          <w:rFonts w:asciiTheme="majorHAnsi" w:hAnsiTheme="majorHAnsi"/>
        </w:rPr>
      </w:pPr>
      <w:r w:rsidRPr="007C2EB6">
        <w:rPr>
          <w:rFonts w:asciiTheme="majorHAnsi" w:hAnsiTheme="majorHAnsi"/>
        </w:rPr>
        <w:t xml:space="preserve"> e. Such omnibus approvals shall be valid for a period not exceeding one year and shall require fresh approvals after the expiry of one year."</w:t>
      </w:r>
    </w:p>
    <w:p w:rsidR="00044E39" w:rsidRPr="00A54E08" w:rsidRDefault="00044E39" w:rsidP="00A54E08">
      <w:pPr>
        <w:spacing w:after="0" w:line="240" w:lineRule="auto"/>
        <w:ind w:left="450"/>
        <w:rPr>
          <w:rFonts w:asciiTheme="majorHAnsi" w:eastAsia="Times New Roman" w:hAnsiTheme="majorHAnsi" w:cstheme="minorHAnsi"/>
          <w:b/>
          <w:szCs w:val="26"/>
          <w:u w:val="single"/>
        </w:rPr>
      </w:pPr>
      <w:r w:rsidRPr="00A54E08">
        <w:rPr>
          <w:rFonts w:asciiTheme="majorHAnsi" w:eastAsia="Times New Roman" w:hAnsiTheme="majorHAnsi" w:cstheme="minorHAnsi"/>
          <w:b/>
          <w:szCs w:val="26"/>
          <w:u w:val="single"/>
        </w:rPr>
        <w:t>Role of the Board of Directors of the Company</w:t>
      </w:r>
    </w:p>
    <w:p w:rsidR="00044E39" w:rsidRPr="00044E39" w:rsidRDefault="00044E39" w:rsidP="00044E39">
      <w:pPr>
        <w:spacing w:after="0" w:line="240" w:lineRule="auto"/>
        <w:rPr>
          <w:rFonts w:eastAsia="Times New Roman" w:cstheme="minorHAnsi"/>
          <w:b/>
          <w:szCs w:val="26"/>
          <w:u w:val="single"/>
        </w:rPr>
      </w:pPr>
    </w:p>
    <w:p w:rsidR="00A54E08" w:rsidRDefault="00A54E08" w:rsidP="00A54E08">
      <w:pPr>
        <w:pStyle w:val="ListParagraph"/>
        <w:spacing w:after="0" w:line="240" w:lineRule="auto"/>
        <w:jc w:val="both"/>
        <w:rPr>
          <w:rFonts w:asciiTheme="majorHAnsi" w:eastAsia="Times New Roman" w:hAnsiTheme="majorHAnsi" w:cs="Arial"/>
        </w:rPr>
      </w:pPr>
      <w:r>
        <w:rPr>
          <w:rFonts w:asciiTheme="majorHAnsi" w:eastAsia="Times New Roman" w:hAnsiTheme="majorHAnsi" w:cs="Arial"/>
        </w:rPr>
        <w:t xml:space="preserve">- </w:t>
      </w:r>
      <w:r w:rsidR="00044E39" w:rsidRPr="00A54E08">
        <w:rPr>
          <w:rFonts w:asciiTheme="majorHAnsi" w:eastAsia="Times New Roman" w:hAnsiTheme="majorHAnsi" w:cs="Arial"/>
        </w:rPr>
        <w:t>The Board must monitor and manage any potential conflicts of interest of management, board members and shareholders, including misuse of corporate assets and abuse in RPTs.</w:t>
      </w:r>
    </w:p>
    <w:p w:rsidR="00A54E08" w:rsidRPr="00A54E08" w:rsidRDefault="00A54E08" w:rsidP="00A54E08">
      <w:pPr>
        <w:pStyle w:val="ListParagraph"/>
        <w:spacing w:after="0" w:line="240" w:lineRule="auto"/>
        <w:jc w:val="both"/>
        <w:rPr>
          <w:rFonts w:asciiTheme="majorHAnsi" w:eastAsia="Times New Roman" w:hAnsiTheme="majorHAnsi" w:cs="Arial"/>
        </w:rPr>
      </w:pPr>
    </w:p>
    <w:p w:rsidR="00044E39" w:rsidRDefault="00A54E08" w:rsidP="00A54E08">
      <w:pPr>
        <w:spacing w:after="0" w:line="240" w:lineRule="auto"/>
        <w:ind w:left="720"/>
        <w:jc w:val="both"/>
        <w:rPr>
          <w:rFonts w:asciiTheme="majorHAnsi" w:eastAsia="Times New Roman" w:hAnsiTheme="majorHAnsi" w:cs="Arial"/>
        </w:rPr>
      </w:pPr>
      <w:r>
        <w:rPr>
          <w:rFonts w:asciiTheme="majorHAnsi" w:eastAsia="Times New Roman" w:hAnsiTheme="majorHAnsi" w:cs="Arial"/>
        </w:rPr>
        <w:t xml:space="preserve">- </w:t>
      </w:r>
      <w:r w:rsidR="00044E39" w:rsidRPr="00A54E08">
        <w:rPr>
          <w:rFonts w:asciiTheme="majorHAnsi" w:eastAsia="Times New Roman" w:hAnsiTheme="majorHAnsi" w:cs="Arial"/>
        </w:rPr>
        <w:t xml:space="preserve"> </w:t>
      </w:r>
      <w:r>
        <w:rPr>
          <w:rFonts w:asciiTheme="majorHAnsi" w:eastAsia="Times New Roman" w:hAnsiTheme="majorHAnsi" w:cs="Arial"/>
        </w:rPr>
        <w:t xml:space="preserve"> </w:t>
      </w:r>
      <w:r w:rsidR="00044E39" w:rsidRPr="00A54E08">
        <w:rPr>
          <w:rFonts w:asciiTheme="majorHAnsi" w:eastAsia="Times New Roman" w:hAnsiTheme="majorHAnsi" w:cs="Arial"/>
        </w:rPr>
        <w:t xml:space="preserve">The Board must comply with the provisions of the Companies Act, 2013, with respect to the RPTs within the meaning of that Act. </w:t>
      </w:r>
    </w:p>
    <w:p w:rsidR="00A54E08" w:rsidRPr="00A54E08" w:rsidRDefault="00A54E08" w:rsidP="00A54E08">
      <w:pPr>
        <w:spacing w:after="0" w:line="240" w:lineRule="auto"/>
        <w:ind w:left="720"/>
        <w:jc w:val="both"/>
        <w:rPr>
          <w:rFonts w:asciiTheme="majorHAnsi" w:eastAsia="Times New Roman" w:hAnsiTheme="majorHAnsi" w:cs="Arial"/>
        </w:rPr>
      </w:pPr>
    </w:p>
    <w:p w:rsidR="00044E39" w:rsidRDefault="00A54E08" w:rsidP="00A54E08">
      <w:pPr>
        <w:spacing w:after="0" w:line="240" w:lineRule="auto"/>
        <w:ind w:left="720"/>
        <w:jc w:val="both"/>
        <w:rPr>
          <w:rFonts w:asciiTheme="majorHAnsi" w:eastAsia="Times New Roman" w:hAnsiTheme="majorHAnsi" w:cs="Arial"/>
        </w:rPr>
      </w:pPr>
      <w:r>
        <w:rPr>
          <w:rFonts w:asciiTheme="majorHAnsi" w:eastAsia="Times New Roman" w:hAnsiTheme="majorHAnsi" w:cs="Arial"/>
        </w:rPr>
        <w:t xml:space="preserve">-  </w:t>
      </w:r>
      <w:r w:rsidR="00044E39" w:rsidRPr="00A54E08">
        <w:rPr>
          <w:rFonts w:asciiTheme="majorHAnsi" w:eastAsia="Times New Roman" w:hAnsiTheme="majorHAnsi" w:cs="Arial"/>
        </w:rPr>
        <w:t>The Board must coordinate with the A</w:t>
      </w:r>
      <w:r>
        <w:rPr>
          <w:rFonts w:asciiTheme="majorHAnsi" w:eastAsia="Times New Roman" w:hAnsiTheme="majorHAnsi" w:cs="Arial"/>
        </w:rPr>
        <w:t xml:space="preserve">udit </w:t>
      </w:r>
      <w:r w:rsidR="00044E39" w:rsidRPr="00A54E08">
        <w:rPr>
          <w:rFonts w:asciiTheme="majorHAnsi" w:eastAsia="Times New Roman" w:hAnsiTheme="majorHAnsi" w:cs="Arial"/>
        </w:rPr>
        <w:t>C</w:t>
      </w:r>
      <w:r>
        <w:rPr>
          <w:rFonts w:asciiTheme="majorHAnsi" w:eastAsia="Times New Roman" w:hAnsiTheme="majorHAnsi" w:cs="Arial"/>
        </w:rPr>
        <w:t>ommittee</w:t>
      </w:r>
      <w:r w:rsidR="00044E39" w:rsidRPr="00A54E08">
        <w:rPr>
          <w:rFonts w:asciiTheme="majorHAnsi" w:eastAsia="Times New Roman" w:hAnsiTheme="majorHAnsi" w:cs="Arial"/>
        </w:rPr>
        <w:t xml:space="preserve"> for effective compliance of the provisions relating to the RPT.</w:t>
      </w:r>
    </w:p>
    <w:p w:rsidR="00A54E08" w:rsidRPr="00A54E08" w:rsidRDefault="00A54E08" w:rsidP="00A54E08">
      <w:pPr>
        <w:spacing w:after="0" w:line="240" w:lineRule="auto"/>
        <w:ind w:left="720"/>
        <w:jc w:val="both"/>
        <w:rPr>
          <w:rFonts w:asciiTheme="majorHAnsi" w:eastAsia="Times New Roman" w:hAnsiTheme="majorHAnsi" w:cs="Arial"/>
        </w:rPr>
      </w:pPr>
    </w:p>
    <w:p w:rsidR="00044E39" w:rsidRPr="00044E39" w:rsidRDefault="00A54E08" w:rsidP="00A54E08">
      <w:pPr>
        <w:spacing w:after="0" w:line="240" w:lineRule="auto"/>
        <w:ind w:left="720"/>
        <w:jc w:val="both"/>
        <w:rPr>
          <w:rFonts w:ascii="Arial" w:eastAsia="Times New Roman" w:hAnsi="Arial" w:cs="Arial"/>
          <w:sz w:val="25"/>
          <w:szCs w:val="25"/>
        </w:rPr>
      </w:pPr>
      <w:r>
        <w:rPr>
          <w:rFonts w:asciiTheme="majorHAnsi" w:eastAsia="Times New Roman" w:hAnsiTheme="majorHAnsi" w:cs="Arial"/>
        </w:rPr>
        <w:t xml:space="preserve">-  </w:t>
      </w:r>
      <w:r w:rsidR="00044E39" w:rsidRPr="00A54E08">
        <w:rPr>
          <w:rFonts w:asciiTheme="majorHAnsi" w:eastAsia="Times New Roman" w:hAnsiTheme="majorHAnsi" w:cs="Arial"/>
        </w:rPr>
        <w:t>It is the duty of the Board along with the A</w:t>
      </w:r>
      <w:r>
        <w:rPr>
          <w:rFonts w:asciiTheme="majorHAnsi" w:eastAsia="Times New Roman" w:hAnsiTheme="majorHAnsi" w:cs="Arial"/>
        </w:rPr>
        <w:t xml:space="preserve">udit </w:t>
      </w:r>
      <w:r w:rsidR="00044E39" w:rsidRPr="00A54E08">
        <w:rPr>
          <w:rFonts w:asciiTheme="majorHAnsi" w:eastAsia="Times New Roman" w:hAnsiTheme="majorHAnsi" w:cs="Arial"/>
        </w:rPr>
        <w:t>C</w:t>
      </w:r>
      <w:r>
        <w:rPr>
          <w:rFonts w:asciiTheme="majorHAnsi" w:eastAsia="Times New Roman" w:hAnsiTheme="majorHAnsi" w:cs="Arial"/>
        </w:rPr>
        <w:t>ommittee</w:t>
      </w:r>
      <w:r w:rsidR="00044E39" w:rsidRPr="00A54E08">
        <w:rPr>
          <w:rFonts w:asciiTheme="majorHAnsi" w:eastAsia="Times New Roman" w:hAnsiTheme="majorHAnsi" w:cs="Arial"/>
        </w:rPr>
        <w:t xml:space="preserve"> to place all the material RPTs before the shareholders for their approval by means of a resolution</w:t>
      </w:r>
      <w:r>
        <w:rPr>
          <w:rFonts w:asciiTheme="majorHAnsi" w:eastAsia="Times New Roman" w:hAnsiTheme="majorHAnsi" w:cs="Arial"/>
        </w:rPr>
        <w:t>.</w:t>
      </w:r>
      <w:r w:rsidR="00044E39" w:rsidRPr="00044E39">
        <w:rPr>
          <w:rFonts w:ascii="Arial" w:eastAsia="Times New Roman" w:hAnsi="Arial" w:cs="Arial"/>
          <w:sz w:val="25"/>
          <w:szCs w:val="25"/>
        </w:rPr>
        <w:t xml:space="preserve"> </w:t>
      </w:r>
    </w:p>
    <w:p w:rsidR="00A54E08" w:rsidRPr="007C2EB6" w:rsidRDefault="00A54E08" w:rsidP="007C2EB6">
      <w:pPr>
        <w:ind w:left="1080"/>
        <w:jc w:val="both"/>
        <w:rPr>
          <w:rFonts w:asciiTheme="majorHAnsi" w:hAnsiTheme="majorHAnsi"/>
        </w:rPr>
      </w:pPr>
    </w:p>
    <w:p w:rsidR="00044E39" w:rsidRDefault="00576DD1" w:rsidP="00044E39">
      <w:pPr>
        <w:pStyle w:val="ListParagraph"/>
        <w:numPr>
          <w:ilvl w:val="0"/>
          <w:numId w:val="1"/>
        </w:numPr>
        <w:spacing w:after="0" w:line="240" w:lineRule="auto"/>
        <w:rPr>
          <w:rFonts w:eastAsia="Times New Roman" w:cstheme="minorHAnsi"/>
          <w:b/>
          <w:sz w:val="28"/>
          <w:szCs w:val="25"/>
          <w:u w:val="single"/>
        </w:rPr>
      </w:pPr>
      <w:r w:rsidRPr="00044E39">
        <w:rPr>
          <w:rFonts w:eastAsia="Times New Roman" w:cstheme="minorHAnsi"/>
          <w:b/>
          <w:sz w:val="28"/>
          <w:szCs w:val="25"/>
          <w:u w:val="single"/>
        </w:rPr>
        <w:lastRenderedPageBreak/>
        <w:t>RELATED PARTY TRANSACTIONS NOT APPROVED UNDER THIS POLICY</w:t>
      </w:r>
    </w:p>
    <w:p w:rsidR="00044E39" w:rsidRDefault="00044E39" w:rsidP="00044E39">
      <w:pPr>
        <w:pStyle w:val="ListParagraph"/>
        <w:spacing w:after="0" w:line="240" w:lineRule="auto"/>
        <w:rPr>
          <w:rFonts w:eastAsia="Times New Roman" w:cstheme="minorHAnsi"/>
          <w:b/>
          <w:sz w:val="28"/>
          <w:szCs w:val="25"/>
          <w:u w:val="single"/>
        </w:rPr>
      </w:pPr>
    </w:p>
    <w:p w:rsidR="00044E39" w:rsidRDefault="00044E39" w:rsidP="00044E39">
      <w:pPr>
        <w:pStyle w:val="ListParagraph"/>
        <w:jc w:val="both"/>
        <w:rPr>
          <w:rFonts w:asciiTheme="majorHAnsi" w:eastAsia="Times New Roman" w:hAnsiTheme="majorHAnsi"/>
        </w:rPr>
      </w:pPr>
      <w:r w:rsidRPr="00044E39">
        <w:rPr>
          <w:rFonts w:asciiTheme="majorHAnsi" w:eastAsia="Times New Roman" w:hAnsiTheme="majorHAnsi"/>
        </w:rPr>
        <w:t xml:space="preserve">In the event the Company becomes aware of a Related Party Transaction with a Related Party that has not been approved under this Policy prior to its consummation, the matter shall be reviewed by the Committee. The Committee shall consider all of the relevant facts and circumstances regarding the Related Party Transaction, and shall evaluate all options available to the Company, including ratification, revision or termination of the Related Party Transaction. The Committee shall also examine the facts and circumstances pertaining to the failure of reporting such Related Party Transaction to the Committee under this Policy, and shall take any such action it deems appropriate. </w:t>
      </w:r>
    </w:p>
    <w:p w:rsidR="00044E39" w:rsidRPr="00044E39" w:rsidRDefault="00044E39" w:rsidP="00044E39">
      <w:pPr>
        <w:pStyle w:val="ListParagraph"/>
        <w:jc w:val="both"/>
        <w:rPr>
          <w:rFonts w:asciiTheme="majorHAnsi" w:eastAsia="Times New Roman" w:hAnsiTheme="majorHAnsi"/>
        </w:rPr>
      </w:pPr>
    </w:p>
    <w:p w:rsidR="00044E39" w:rsidRDefault="00044E39" w:rsidP="00044E39">
      <w:pPr>
        <w:pStyle w:val="ListParagraph"/>
        <w:jc w:val="both"/>
        <w:rPr>
          <w:rFonts w:asciiTheme="majorHAnsi" w:eastAsia="Times New Roman" w:hAnsiTheme="majorHAnsi"/>
        </w:rPr>
      </w:pPr>
      <w:r w:rsidRPr="00044E39">
        <w:rPr>
          <w:rFonts w:asciiTheme="majorHAnsi" w:eastAsia="Times New Roman" w:hAnsiTheme="majorHAnsi"/>
        </w:rPr>
        <w:t>In any case, where the Committee determines not to ratify a Related Party Transaction that has been commenced without approval, the Committee, as appropriate may direct additional actions including, but not limited to, immediate discontinuation or rescission of the transaction. In connection with any review of a Related Party Transaction, the Committee has authority to modify or waive any procedural requirements of this Policy.</w:t>
      </w:r>
    </w:p>
    <w:p w:rsidR="00044E39" w:rsidRPr="00044E39" w:rsidRDefault="00044E39" w:rsidP="00044E39">
      <w:pPr>
        <w:pStyle w:val="ListParagraph"/>
        <w:jc w:val="both"/>
        <w:rPr>
          <w:rFonts w:asciiTheme="majorHAnsi" w:eastAsia="Times New Roman" w:hAnsiTheme="majorHAnsi"/>
        </w:rPr>
      </w:pPr>
    </w:p>
    <w:p w:rsidR="00044E39" w:rsidRDefault="00044E39" w:rsidP="00044E39">
      <w:pPr>
        <w:pStyle w:val="ListParagraph"/>
        <w:jc w:val="both"/>
        <w:rPr>
          <w:rFonts w:asciiTheme="majorHAnsi" w:eastAsia="Times New Roman" w:hAnsiTheme="majorHAnsi"/>
        </w:rPr>
      </w:pPr>
      <w:r w:rsidRPr="00044E39">
        <w:rPr>
          <w:rFonts w:asciiTheme="majorHAnsi" w:eastAsia="Times New Roman" w:hAnsiTheme="majorHAnsi"/>
        </w:rPr>
        <w:t xml:space="preserve"> All material related party transactions shall require approval of the shareholders through resolution and the related parties shall abstain from voting on such resolutions whether the entity is a related party to the particular transaction or not.</w:t>
      </w:r>
    </w:p>
    <w:p w:rsidR="00044E39" w:rsidRPr="00044E39" w:rsidRDefault="00044E39" w:rsidP="00044E39">
      <w:pPr>
        <w:pStyle w:val="ListParagraph"/>
        <w:jc w:val="both"/>
        <w:rPr>
          <w:rFonts w:asciiTheme="majorHAnsi" w:eastAsia="Times New Roman" w:hAnsiTheme="majorHAnsi"/>
        </w:rPr>
      </w:pPr>
    </w:p>
    <w:p w:rsidR="00044E39" w:rsidRDefault="00044E39" w:rsidP="00044E39">
      <w:pPr>
        <w:pStyle w:val="ListParagraph"/>
        <w:jc w:val="both"/>
        <w:rPr>
          <w:rFonts w:ascii="Cambria" w:hAnsi="Cambria"/>
          <w:b/>
          <w:szCs w:val="24"/>
        </w:rPr>
      </w:pPr>
      <w:r w:rsidRPr="00044E39">
        <w:rPr>
          <w:rFonts w:ascii="Cambria" w:hAnsi="Cambria"/>
          <w:b/>
          <w:szCs w:val="24"/>
        </w:rPr>
        <w:t>A transaction with a related party is considered material if the transaction / transactions to be entered into, either individually or taken together with previous transactions with such related party during a financial year, exceeds ten percent of the annual consolidated turnover of the Company as per the last audited financial statements of the company</w:t>
      </w:r>
      <w:r>
        <w:rPr>
          <w:rFonts w:ascii="Cambria" w:hAnsi="Cambria"/>
          <w:b/>
          <w:szCs w:val="24"/>
        </w:rPr>
        <w:t>.</w:t>
      </w:r>
    </w:p>
    <w:p w:rsidR="00044E39" w:rsidRPr="00044E39" w:rsidRDefault="00044E39" w:rsidP="00044E39">
      <w:pPr>
        <w:pStyle w:val="ListParagraph"/>
        <w:spacing w:after="0" w:line="240" w:lineRule="auto"/>
        <w:rPr>
          <w:rFonts w:eastAsia="Times New Roman" w:cstheme="minorHAnsi"/>
          <w:b/>
          <w:sz w:val="28"/>
          <w:szCs w:val="25"/>
          <w:u w:val="single"/>
        </w:rPr>
      </w:pPr>
    </w:p>
    <w:p w:rsidR="00A54E08" w:rsidRPr="00A54E08" w:rsidRDefault="00C70A51" w:rsidP="00A54E08">
      <w:pPr>
        <w:pStyle w:val="ListParagraph"/>
        <w:numPr>
          <w:ilvl w:val="0"/>
          <w:numId w:val="1"/>
        </w:numPr>
        <w:jc w:val="both"/>
        <w:rPr>
          <w:rFonts w:cstheme="minorHAnsi"/>
          <w:b/>
          <w:sz w:val="28"/>
          <w:szCs w:val="24"/>
          <w:u w:val="single"/>
        </w:rPr>
      </w:pPr>
      <w:r w:rsidRPr="00A54E08">
        <w:rPr>
          <w:rFonts w:cstheme="minorHAnsi"/>
          <w:b/>
          <w:sz w:val="28"/>
          <w:szCs w:val="24"/>
          <w:u w:val="single"/>
        </w:rPr>
        <w:t>DISCLOSURE</w:t>
      </w:r>
      <w:r w:rsidR="00A54E08" w:rsidRPr="00A54E08">
        <w:rPr>
          <w:rFonts w:cstheme="minorHAnsi"/>
          <w:b/>
          <w:sz w:val="28"/>
          <w:szCs w:val="24"/>
          <w:u w:val="single"/>
        </w:rPr>
        <w:t xml:space="preserve">: </w:t>
      </w:r>
    </w:p>
    <w:p w:rsidR="00A54E08" w:rsidRPr="00A54E08" w:rsidRDefault="00A54E08" w:rsidP="00A54E08">
      <w:pPr>
        <w:ind w:left="720"/>
        <w:jc w:val="both"/>
        <w:rPr>
          <w:rFonts w:ascii="Cambria" w:hAnsi="Cambria"/>
          <w:szCs w:val="24"/>
        </w:rPr>
      </w:pPr>
      <w:r w:rsidRPr="00A54E08">
        <w:rPr>
          <w:rFonts w:ascii="Cambria" w:hAnsi="Cambria"/>
          <w:szCs w:val="24"/>
        </w:rPr>
        <w:t xml:space="preserve">• All Directors/KMP are required to disclose the parties in which they are deemed to be interested in prescribed form. </w:t>
      </w:r>
    </w:p>
    <w:p w:rsidR="00A54E08" w:rsidRPr="00A54E08" w:rsidRDefault="00A54E08" w:rsidP="00A54E08">
      <w:pPr>
        <w:ind w:left="720"/>
        <w:jc w:val="both"/>
        <w:rPr>
          <w:rFonts w:ascii="Cambria" w:hAnsi="Cambria"/>
          <w:szCs w:val="24"/>
        </w:rPr>
      </w:pPr>
      <w:r w:rsidRPr="00A54E08">
        <w:rPr>
          <w:rFonts w:ascii="Cambria" w:hAnsi="Cambria"/>
          <w:szCs w:val="24"/>
        </w:rPr>
        <w:t>• Further, each Director and KMP of the Company shall promptly notify the Secretarial Department of any material transaction or Relationship that could reasonably be expected to give rise to a conflict of interest.</w:t>
      </w:r>
    </w:p>
    <w:p w:rsidR="00A54E08" w:rsidRPr="00A54E08" w:rsidRDefault="00A54E08" w:rsidP="00A54E08">
      <w:pPr>
        <w:ind w:left="720"/>
        <w:jc w:val="both"/>
        <w:rPr>
          <w:rFonts w:ascii="Cambria" w:hAnsi="Cambria"/>
          <w:szCs w:val="24"/>
        </w:rPr>
      </w:pPr>
      <w:r w:rsidRPr="00A54E08">
        <w:rPr>
          <w:rFonts w:ascii="Cambria" w:hAnsi="Cambria"/>
          <w:szCs w:val="24"/>
        </w:rPr>
        <w:t xml:space="preserve">• Every related party transaction, if required under law/Listing Agreement shall be referred to in the Board’s report along with the justification for entering into such contract or arrangement. The Company shall also maintain Register in the prescribed form. </w:t>
      </w:r>
    </w:p>
    <w:p w:rsidR="00A54E08" w:rsidRDefault="00A54E08" w:rsidP="007721B0">
      <w:pPr>
        <w:ind w:left="720"/>
        <w:jc w:val="both"/>
        <w:rPr>
          <w:rFonts w:ascii="Cambria" w:hAnsi="Cambria"/>
          <w:b/>
          <w:sz w:val="28"/>
          <w:szCs w:val="24"/>
          <w:u w:val="single"/>
        </w:rPr>
      </w:pPr>
      <w:r w:rsidRPr="00A54E08">
        <w:rPr>
          <w:rFonts w:ascii="Cambria" w:hAnsi="Cambria"/>
          <w:szCs w:val="24"/>
        </w:rPr>
        <w:t>• The company shall disclose the policy on dealing with Related Party Transactions on its website</w:t>
      </w:r>
      <w:r w:rsidR="000D4710">
        <w:rPr>
          <w:rFonts w:ascii="Cambria" w:hAnsi="Cambria"/>
          <w:szCs w:val="24"/>
        </w:rPr>
        <w:t xml:space="preserve"> (www.</w:t>
      </w:r>
      <w:r w:rsidR="002F0B8D">
        <w:rPr>
          <w:rFonts w:ascii="Cambria" w:hAnsi="Cambria"/>
          <w:szCs w:val="24"/>
        </w:rPr>
        <w:t>tirthlimited</w:t>
      </w:r>
      <w:r w:rsidR="007721B0">
        <w:rPr>
          <w:rFonts w:ascii="Cambria" w:hAnsi="Cambria"/>
          <w:szCs w:val="24"/>
        </w:rPr>
        <w:t>.com</w:t>
      </w:r>
      <w:r w:rsidR="000D4710">
        <w:rPr>
          <w:rFonts w:ascii="Cambria" w:hAnsi="Cambria"/>
          <w:szCs w:val="24"/>
        </w:rPr>
        <w:t>)</w:t>
      </w:r>
      <w:r w:rsidRPr="00A54E08">
        <w:rPr>
          <w:rFonts w:ascii="Cambria" w:hAnsi="Cambria"/>
          <w:szCs w:val="24"/>
        </w:rPr>
        <w:t xml:space="preserve"> and a web-link thereto shall be provided in the Annual Report.</w:t>
      </w:r>
    </w:p>
    <w:p w:rsidR="00A54E08" w:rsidRDefault="00A54E08" w:rsidP="00A54E08">
      <w:pPr>
        <w:pStyle w:val="ListParagraph"/>
        <w:numPr>
          <w:ilvl w:val="0"/>
          <w:numId w:val="1"/>
        </w:numPr>
        <w:jc w:val="both"/>
        <w:rPr>
          <w:rFonts w:ascii="Cambria" w:hAnsi="Cambria"/>
          <w:b/>
          <w:sz w:val="28"/>
          <w:szCs w:val="24"/>
          <w:u w:val="single"/>
        </w:rPr>
      </w:pPr>
      <w:r w:rsidRPr="00A54E08">
        <w:rPr>
          <w:rFonts w:cstheme="minorHAnsi"/>
          <w:b/>
          <w:sz w:val="28"/>
          <w:szCs w:val="24"/>
          <w:u w:val="single"/>
        </w:rPr>
        <w:lastRenderedPageBreak/>
        <w:t xml:space="preserve"> </w:t>
      </w:r>
      <w:r w:rsidR="00C70A51" w:rsidRPr="00A54E08">
        <w:rPr>
          <w:rFonts w:cstheme="minorHAnsi"/>
          <w:b/>
          <w:sz w:val="28"/>
          <w:szCs w:val="24"/>
          <w:u w:val="single"/>
        </w:rPr>
        <w:t>WHISTLE BLOWER FOR ANY RELATED PARTY TRANSACTION ENTERED BY COMPANY IN NON-COMPLIANCE OF SUCH POLICY</w:t>
      </w:r>
      <w:r w:rsidRPr="00A54E08">
        <w:rPr>
          <w:rFonts w:ascii="Cambria" w:hAnsi="Cambria"/>
          <w:b/>
          <w:sz w:val="28"/>
          <w:szCs w:val="24"/>
          <w:u w:val="single"/>
        </w:rPr>
        <w:t>:</w:t>
      </w:r>
    </w:p>
    <w:p w:rsidR="00A54E08" w:rsidRPr="00A54E08" w:rsidRDefault="00A54E08" w:rsidP="00A54E08">
      <w:pPr>
        <w:pStyle w:val="ListParagraph"/>
        <w:jc w:val="both"/>
        <w:rPr>
          <w:rFonts w:ascii="Cambria" w:hAnsi="Cambria"/>
          <w:szCs w:val="24"/>
        </w:rPr>
      </w:pPr>
      <w:r w:rsidRPr="00A54E08">
        <w:rPr>
          <w:rFonts w:ascii="Cambria" w:hAnsi="Cambria"/>
          <w:szCs w:val="24"/>
        </w:rPr>
        <w:t>Any officer or employee, can approach access / approach the vigil mechanism or Company Secretary to report a fraudulent related party transaction.</w:t>
      </w:r>
    </w:p>
    <w:p w:rsidR="00A54E08" w:rsidRPr="00A54E08" w:rsidRDefault="00A54E08" w:rsidP="00A54E08">
      <w:pPr>
        <w:pStyle w:val="ListParagraph"/>
        <w:jc w:val="both"/>
        <w:rPr>
          <w:rFonts w:ascii="Cambria" w:hAnsi="Cambria"/>
          <w:b/>
          <w:sz w:val="28"/>
          <w:szCs w:val="24"/>
          <w:u w:val="single"/>
        </w:rPr>
      </w:pPr>
    </w:p>
    <w:p w:rsidR="00A54E08" w:rsidRPr="00A54E08" w:rsidRDefault="00C70A51" w:rsidP="00A54E08">
      <w:pPr>
        <w:pStyle w:val="ListParagraph"/>
        <w:numPr>
          <w:ilvl w:val="0"/>
          <w:numId w:val="1"/>
        </w:numPr>
        <w:jc w:val="both"/>
        <w:rPr>
          <w:rFonts w:cstheme="minorHAnsi"/>
          <w:b/>
          <w:sz w:val="28"/>
          <w:szCs w:val="24"/>
          <w:u w:val="single"/>
        </w:rPr>
      </w:pPr>
      <w:r w:rsidRPr="00C70A51">
        <w:rPr>
          <w:rFonts w:cstheme="minorHAnsi"/>
          <w:b/>
          <w:sz w:val="28"/>
          <w:szCs w:val="24"/>
          <w:u w:val="single"/>
        </w:rPr>
        <w:t>GUIDANCE PRINCIPLES FOR APPROVAL OF A RELATED PARTY TRANSACTION BY THE BOARD/COMMITTEE THEREOF</w:t>
      </w:r>
      <w:r w:rsidR="00A54E08" w:rsidRPr="00A54E08">
        <w:rPr>
          <w:rFonts w:cstheme="minorHAnsi"/>
          <w:b/>
          <w:sz w:val="28"/>
          <w:szCs w:val="24"/>
          <w:u w:val="single"/>
        </w:rPr>
        <w:t>:</w:t>
      </w:r>
    </w:p>
    <w:p w:rsidR="007721B0" w:rsidRDefault="00A54E08" w:rsidP="00A54E08">
      <w:pPr>
        <w:ind w:left="720"/>
        <w:jc w:val="both"/>
        <w:rPr>
          <w:rFonts w:asciiTheme="majorHAnsi" w:hAnsiTheme="majorHAnsi"/>
        </w:rPr>
      </w:pPr>
      <w:r w:rsidRPr="00A54E08">
        <w:rPr>
          <w:rFonts w:asciiTheme="majorHAnsi" w:hAnsiTheme="majorHAnsi"/>
        </w:rPr>
        <w:t>To review a Related Party Transaction, the Board/Committee will be provided with all relevant material information of the Related Party Transaction, including the terms of the transaction, the business purpose of the transaction, the benefits to the Company and any other relevant matters. In determining whether to approve or a Related Party Transaction, the Board/Committee will consider the following factors, among others, to the extent relevant to the Related Party.</w:t>
      </w:r>
    </w:p>
    <w:p w:rsidR="00A54E08" w:rsidRPr="00A54E08" w:rsidRDefault="00A54E08" w:rsidP="00A54E08">
      <w:pPr>
        <w:ind w:left="720"/>
        <w:jc w:val="both"/>
        <w:rPr>
          <w:rFonts w:asciiTheme="majorHAnsi" w:hAnsiTheme="majorHAnsi"/>
          <w:u w:val="single"/>
        </w:rPr>
      </w:pPr>
      <w:r w:rsidRPr="00A54E08">
        <w:rPr>
          <w:rFonts w:asciiTheme="majorHAnsi" w:hAnsiTheme="majorHAnsi"/>
          <w:b/>
        </w:rPr>
        <w:t xml:space="preserve"> </w:t>
      </w:r>
      <w:r w:rsidRPr="00A54E08">
        <w:rPr>
          <w:rFonts w:asciiTheme="majorHAnsi" w:hAnsiTheme="majorHAnsi"/>
          <w:b/>
          <w:u w:val="single"/>
        </w:rPr>
        <w:t>Transaction</w:t>
      </w:r>
      <w:r w:rsidRPr="00A54E08">
        <w:rPr>
          <w:rFonts w:asciiTheme="majorHAnsi" w:hAnsiTheme="majorHAnsi"/>
          <w:u w:val="single"/>
        </w:rPr>
        <w:t xml:space="preserve">:  </w:t>
      </w:r>
    </w:p>
    <w:p w:rsidR="00A54E08" w:rsidRPr="00A54E08" w:rsidRDefault="00A54E08" w:rsidP="00A54E08">
      <w:pPr>
        <w:pStyle w:val="ListParagraph"/>
        <w:numPr>
          <w:ilvl w:val="0"/>
          <w:numId w:val="5"/>
        </w:numPr>
        <w:jc w:val="both"/>
        <w:rPr>
          <w:rFonts w:asciiTheme="majorHAnsi" w:hAnsiTheme="majorHAnsi"/>
        </w:rPr>
      </w:pPr>
      <w:r w:rsidRPr="00A54E08">
        <w:rPr>
          <w:rFonts w:asciiTheme="majorHAnsi" w:hAnsiTheme="majorHAnsi"/>
        </w:rPr>
        <w:t xml:space="preserve">Whether the terms of the Related Party Transaction are fair to the Company and would apply on the same basis if the transaction did not involve a Related Party;  </w:t>
      </w:r>
    </w:p>
    <w:p w:rsidR="00A54E08" w:rsidRPr="00A54E08" w:rsidRDefault="00A54E08" w:rsidP="00A54E08">
      <w:pPr>
        <w:pStyle w:val="ListParagraph"/>
        <w:jc w:val="both"/>
        <w:rPr>
          <w:rFonts w:asciiTheme="majorHAnsi" w:hAnsiTheme="majorHAnsi"/>
        </w:rPr>
      </w:pPr>
    </w:p>
    <w:p w:rsidR="00A54E08" w:rsidRPr="00A54E08" w:rsidRDefault="00A54E08" w:rsidP="00A54E08">
      <w:pPr>
        <w:pStyle w:val="ListParagraph"/>
        <w:numPr>
          <w:ilvl w:val="0"/>
          <w:numId w:val="5"/>
        </w:numPr>
        <w:jc w:val="both"/>
        <w:rPr>
          <w:rFonts w:asciiTheme="majorHAnsi" w:hAnsiTheme="majorHAnsi"/>
        </w:rPr>
      </w:pPr>
      <w:r w:rsidRPr="00A54E08">
        <w:rPr>
          <w:rFonts w:asciiTheme="majorHAnsi" w:hAnsiTheme="majorHAnsi"/>
        </w:rPr>
        <w:t xml:space="preserve">Whether there are any compelling business reasons for the Company to enter into the Related Party Transaction and the nature of alternative transactions, if any;  </w:t>
      </w:r>
    </w:p>
    <w:p w:rsidR="00A54E08" w:rsidRPr="00A54E08" w:rsidRDefault="00A54E08" w:rsidP="00A54E08">
      <w:pPr>
        <w:pStyle w:val="ListParagraph"/>
        <w:jc w:val="both"/>
        <w:rPr>
          <w:rFonts w:asciiTheme="majorHAnsi" w:hAnsiTheme="majorHAnsi"/>
        </w:rPr>
      </w:pPr>
    </w:p>
    <w:p w:rsidR="00A54E08" w:rsidRPr="00A54E08" w:rsidRDefault="00A54E08" w:rsidP="00A54E08">
      <w:pPr>
        <w:pStyle w:val="ListParagraph"/>
        <w:numPr>
          <w:ilvl w:val="0"/>
          <w:numId w:val="5"/>
        </w:numPr>
        <w:jc w:val="both"/>
        <w:rPr>
          <w:rFonts w:asciiTheme="majorHAnsi" w:hAnsiTheme="majorHAnsi"/>
        </w:rPr>
      </w:pPr>
      <w:r w:rsidRPr="00A54E08">
        <w:rPr>
          <w:rFonts w:asciiTheme="majorHAnsi" w:hAnsiTheme="majorHAnsi"/>
        </w:rPr>
        <w:t>Whether the Related Party Transaction would impair the independence of an otherwise Independent Director or Nominee of a Director;</w:t>
      </w:r>
    </w:p>
    <w:p w:rsidR="00A54E08" w:rsidRPr="00A54E08" w:rsidRDefault="00A54E08" w:rsidP="00A54E08">
      <w:pPr>
        <w:pStyle w:val="ListParagraph"/>
        <w:jc w:val="both"/>
        <w:rPr>
          <w:rFonts w:asciiTheme="majorHAnsi" w:hAnsiTheme="majorHAnsi"/>
        </w:rPr>
      </w:pPr>
    </w:p>
    <w:p w:rsidR="00A54E08" w:rsidRPr="007721B0" w:rsidRDefault="00A54E08" w:rsidP="007721B0">
      <w:pPr>
        <w:pStyle w:val="ListParagraph"/>
        <w:numPr>
          <w:ilvl w:val="0"/>
          <w:numId w:val="5"/>
        </w:numPr>
        <w:jc w:val="both"/>
        <w:rPr>
          <w:rFonts w:asciiTheme="majorHAnsi" w:hAnsiTheme="majorHAnsi"/>
        </w:rPr>
      </w:pPr>
      <w:r w:rsidRPr="00A54E08">
        <w:rPr>
          <w:rFonts w:asciiTheme="majorHAnsi" w:hAnsiTheme="majorHAnsi"/>
        </w:rPr>
        <w:t xml:space="preserve">Whether the Related Party Transaction would present an improper conflict of interest for any Director, Nominee for Director or KMP of the Company, taking into account the size of the transaction, the overall interest of the Director, Nominee for Director, Executive Officer or other Related Party, the direct or indirect nature of the Director’s Nominee, Executive Officer’s or other Related Party’s interest in the transaction and the ongoing nature of any proposed relationship and any other factors the Board/Committee deems relevant. </w:t>
      </w:r>
      <w:r w:rsidRPr="007721B0">
        <w:rPr>
          <w:rFonts w:asciiTheme="majorHAnsi" w:hAnsiTheme="majorHAnsi"/>
        </w:rPr>
        <w:t>In any case where either the Board/Committee determines not to ratify a Related Party Transaction that has been commenced without approval, the Board/Committee, as appropriate, may direct additional actions including, but not limited to, immediate discontinuation or rescission of the transaction, or modification of the transaction to make it acceptable for ratification. In connection with any review of a Related Party Transaction, the Board/Committee has authority to modify or waive any procedural requirements of this Policy.</w:t>
      </w:r>
    </w:p>
    <w:p w:rsidR="00A54E08" w:rsidRDefault="00A54E08" w:rsidP="00A54E08">
      <w:pPr>
        <w:ind w:left="630"/>
        <w:jc w:val="both"/>
        <w:rPr>
          <w:rFonts w:ascii="Cambria" w:hAnsi="Cambria"/>
          <w:sz w:val="24"/>
          <w:szCs w:val="24"/>
        </w:rPr>
      </w:pPr>
    </w:p>
    <w:p w:rsidR="00F0491C" w:rsidRPr="00044E39" w:rsidRDefault="00F0491C" w:rsidP="00044E39">
      <w:pPr>
        <w:jc w:val="both"/>
        <w:rPr>
          <w:rFonts w:asciiTheme="majorHAnsi" w:hAnsiTheme="majorHAnsi" w:cstheme="minorHAnsi"/>
          <w:b/>
          <w:u w:val="single"/>
        </w:rPr>
      </w:pPr>
    </w:p>
    <w:p w:rsidR="00F0491C" w:rsidRPr="00F0491C" w:rsidRDefault="00F0491C" w:rsidP="00F0491C">
      <w:pPr>
        <w:pStyle w:val="ListParagraph"/>
        <w:jc w:val="both"/>
        <w:rPr>
          <w:rFonts w:cstheme="minorHAnsi"/>
        </w:rPr>
      </w:pPr>
    </w:p>
    <w:p w:rsidR="00AC45AE" w:rsidRPr="00AC45AE" w:rsidRDefault="00AC45AE" w:rsidP="00AC45AE">
      <w:pPr>
        <w:pStyle w:val="ListParagraph"/>
        <w:jc w:val="both"/>
        <w:rPr>
          <w:rFonts w:eastAsia="Times New Roman" w:cstheme="minorHAnsi"/>
        </w:rPr>
      </w:pPr>
    </w:p>
    <w:p w:rsidR="00AC45AE" w:rsidRDefault="00AC45AE" w:rsidP="00AC45AE">
      <w:pPr>
        <w:pStyle w:val="ListParagraph"/>
        <w:jc w:val="both"/>
        <w:rPr>
          <w:rFonts w:eastAsia="Times New Roman" w:cstheme="minorHAnsi"/>
          <w:b/>
          <w:u w:val="single"/>
        </w:rPr>
      </w:pPr>
    </w:p>
    <w:p w:rsidR="00AC45AE" w:rsidRPr="00AC45AE" w:rsidRDefault="00AC45AE" w:rsidP="00AC45AE">
      <w:pPr>
        <w:pStyle w:val="ListParagraph"/>
        <w:jc w:val="both"/>
        <w:rPr>
          <w:rFonts w:eastAsia="Times New Roman" w:cstheme="minorHAnsi"/>
          <w:b/>
          <w:u w:val="single"/>
        </w:rPr>
      </w:pPr>
    </w:p>
    <w:p w:rsidR="009902D4" w:rsidRPr="009902D4" w:rsidRDefault="009902D4" w:rsidP="009902D4">
      <w:pPr>
        <w:ind w:left="720"/>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Default="009902D4" w:rsidP="009902D4">
      <w:pPr>
        <w:pStyle w:val="ListParagraph"/>
        <w:jc w:val="both"/>
        <w:rPr>
          <w:rFonts w:asciiTheme="majorHAnsi" w:eastAsia="Times New Roman" w:hAnsiTheme="majorHAnsi"/>
        </w:rPr>
      </w:pPr>
    </w:p>
    <w:p w:rsidR="009902D4" w:rsidRPr="009902D4" w:rsidRDefault="009902D4" w:rsidP="009902D4">
      <w:pPr>
        <w:pStyle w:val="ListParagraph"/>
        <w:jc w:val="both"/>
        <w:rPr>
          <w:rFonts w:asciiTheme="majorHAnsi" w:eastAsia="Times New Roman" w:hAnsiTheme="majorHAnsi"/>
        </w:rPr>
      </w:pPr>
    </w:p>
    <w:p w:rsidR="009902D4" w:rsidRPr="009902D4" w:rsidRDefault="009902D4" w:rsidP="009902D4">
      <w:pPr>
        <w:pStyle w:val="ListParagraph"/>
        <w:jc w:val="both"/>
        <w:rPr>
          <w:rFonts w:cstheme="minorHAnsi"/>
        </w:rPr>
      </w:pPr>
    </w:p>
    <w:p w:rsidR="009902D4" w:rsidRDefault="009902D4" w:rsidP="009902D4">
      <w:pPr>
        <w:pStyle w:val="ListParagraph"/>
        <w:rPr>
          <w:rFonts w:cstheme="minorHAnsi"/>
          <w:b/>
          <w:sz w:val="28"/>
          <w:u w:val="single"/>
        </w:rPr>
      </w:pPr>
    </w:p>
    <w:p w:rsidR="009902D4" w:rsidRDefault="009902D4" w:rsidP="009902D4">
      <w:pPr>
        <w:pStyle w:val="ListParagraph"/>
        <w:rPr>
          <w:rFonts w:cstheme="minorHAnsi"/>
          <w:b/>
          <w:sz w:val="28"/>
          <w:u w:val="single"/>
        </w:rPr>
      </w:pPr>
    </w:p>
    <w:p w:rsidR="002C51A8" w:rsidRDefault="002C51A8" w:rsidP="002C51A8">
      <w:pPr>
        <w:pStyle w:val="ListParagraph"/>
      </w:pPr>
    </w:p>
    <w:sectPr w:rsidR="002C51A8" w:rsidSect="002C51A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7192"/>
    <w:multiLevelType w:val="hybridMultilevel"/>
    <w:tmpl w:val="6AFA4F9E"/>
    <w:lvl w:ilvl="0" w:tplc="820A2A06">
      <w:start w:val="1"/>
      <w:numFmt w:val="decimal"/>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234338"/>
    <w:multiLevelType w:val="hybridMultilevel"/>
    <w:tmpl w:val="F0B28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B599F"/>
    <w:multiLevelType w:val="hybridMultilevel"/>
    <w:tmpl w:val="0324D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75318"/>
    <w:multiLevelType w:val="hybridMultilevel"/>
    <w:tmpl w:val="0AD04ADC"/>
    <w:lvl w:ilvl="0" w:tplc="D9563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631324"/>
    <w:multiLevelType w:val="hybridMultilevel"/>
    <w:tmpl w:val="2DB0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2C51A8"/>
    <w:rsid w:val="00044E39"/>
    <w:rsid w:val="000D4710"/>
    <w:rsid w:val="001B7519"/>
    <w:rsid w:val="001E3ED4"/>
    <w:rsid w:val="002C51A8"/>
    <w:rsid w:val="002F0B8D"/>
    <w:rsid w:val="005324A9"/>
    <w:rsid w:val="00576DD1"/>
    <w:rsid w:val="005F03EA"/>
    <w:rsid w:val="0072186F"/>
    <w:rsid w:val="007721B0"/>
    <w:rsid w:val="007C2EB6"/>
    <w:rsid w:val="0092597F"/>
    <w:rsid w:val="0097126C"/>
    <w:rsid w:val="009902D4"/>
    <w:rsid w:val="00A026DE"/>
    <w:rsid w:val="00A54E08"/>
    <w:rsid w:val="00AC45AE"/>
    <w:rsid w:val="00C70A51"/>
    <w:rsid w:val="00C95D51"/>
    <w:rsid w:val="00CD2680"/>
    <w:rsid w:val="00F001EC"/>
    <w:rsid w:val="00F04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51A8"/>
    <w:pPr>
      <w:spacing w:after="0" w:line="240" w:lineRule="auto"/>
    </w:pPr>
  </w:style>
  <w:style w:type="character" w:customStyle="1" w:styleId="NoSpacingChar">
    <w:name w:val="No Spacing Char"/>
    <w:basedOn w:val="DefaultParagraphFont"/>
    <w:link w:val="NoSpacing"/>
    <w:uiPriority w:val="1"/>
    <w:rsid w:val="002C51A8"/>
  </w:style>
  <w:style w:type="paragraph" w:styleId="BalloonText">
    <w:name w:val="Balloon Text"/>
    <w:basedOn w:val="Normal"/>
    <w:link w:val="BalloonTextChar"/>
    <w:uiPriority w:val="99"/>
    <w:semiHidden/>
    <w:unhideWhenUsed/>
    <w:rsid w:val="002C5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A8"/>
    <w:rPr>
      <w:rFonts w:ascii="Tahoma" w:hAnsi="Tahoma" w:cs="Tahoma"/>
      <w:sz w:val="16"/>
      <w:szCs w:val="16"/>
    </w:rPr>
  </w:style>
  <w:style w:type="paragraph" w:styleId="ListParagraph">
    <w:name w:val="List Paragraph"/>
    <w:basedOn w:val="Normal"/>
    <w:uiPriority w:val="99"/>
    <w:qFormat/>
    <w:rsid w:val="002C51A8"/>
    <w:pPr>
      <w:ind w:left="720"/>
      <w:contextualSpacing/>
    </w:pPr>
  </w:style>
</w:styles>
</file>

<file path=word/webSettings.xml><?xml version="1.0" encoding="utf-8"?>
<w:webSettings xmlns:r="http://schemas.openxmlformats.org/officeDocument/2006/relationships" xmlns:w="http://schemas.openxmlformats.org/wordprocessingml/2006/main">
  <w:divs>
    <w:div w:id="218245127">
      <w:bodyDiv w:val="1"/>
      <w:marLeft w:val="0"/>
      <w:marRight w:val="0"/>
      <w:marTop w:val="0"/>
      <w:marBottom w:val="0"/>
      <w:divBdr>
        <w:top w:val="none" w:sz="0" w:space="0" w:color="auto"/>
        <w:left w:val="none" w:sz="0" w:space="0" w:color="auto"/>
        <w:bottom w:val="none" w:sz="0" w:space="0" w:color="auto"/>
        <w:right w:val="none" w:sz="0" w:space="0" w:color="auto"/>
      </w:divBdr>
      <w:divsChild>
        <w:div w:id="1509757764">
          <w:marLeft w:val="0"/>
          <w:marRight w:val="0"/>
          <w:marTop w:val="0"/>
          <w:marBottom w:val="0"/>
          <w:divBdr>
            <w:top w:val="none" w:sz="0" w:space="0" w:color="auto"/>
            <w:left w:val="none" w:sz="0" w:space="0" w:color="auto"/>
            <w:bottom w:val="none" w:sz="0" w:space="0" w:color="auto"/>
            <w:right w:val="none" w:sz="0" w:space="0" w:color="auto"/>
          </w:divBdr>
        </w:div>
        <w:div w:id="886799711">
          <w:marLeft w:val="0"/>
          <w:marRight w:val="0"/>
          <w:marTop w:val="0"/>
          <w:marBottom w:val="0"/>
          <w:divBdr>
            <w:top w:val="none" w:sz="0" w:space="0" w:color="auto"/>
            <w:left w:val="none" w:sz="0" w:space="0" w:color="auto"/>
            <w:bottom w:val="none" w:sz="0" w:space="0" w:color="auto"/>
            <w:right w:val="none" w:sz="0" w:space="0" w:color="auto"/>
          </w:divBdr>
        </w:div>
        <w:div w:id="1494027323">
          <w:marLeft w:val="0"/>
          <w:marRight w:val="0"/>
          <w:marTop w:val="0"/>
          <w:marBottom w:val="0"/>
          <w:divBdr>
            <w:top w:val="none" w:sz="0" w:space="0" w:color="auto"/>
            <w:left w:val="none" w:sz="0" w:space="0" w:color="auto"/>
            <w:bottom w:val="none" w:sz="0" w:space="0" w:color="auto"/>
            <w:right w:val="none" w:sz="0" w:space="0" w:color="auto"/>
          </w:divBdr>
        </w:div>
        <w:div w:id="1225338332">
          <w:marLeft w:val="0"/>
          <w:marRight w:val="0"/>
          <w:marTop w:val="0"/>
          <w:marBottom w:val="0"/>
          <w:divBdr>
            <w:top w:val="none" w:sz="0" w:space="0" w:color="auto"/>
            <w:left w:val="none" w:sz="0" w:space="0" w:color="auto"/>
            <w:bottom w:val="none" w:sz="0" w:space="0" w:color="auto"/>
            <w:right w:val="none" w:sz="0" w:space="0" w:color="auto"/>
          </w:divBdr>
        </w:div>
        <w:div w:id="1899970268">
          <w:marLeft w:val="0"/>
          <w:marRight w:val="0"/>
          <w:marTop w:val="0"/>
          <w:marBottom w:val="0"/>
          <w:divBdr>
            <w:top w:val="none" w:sz="0" w:space="0" w:color="auto"/>
            <w:left w:val="none" w:sz="0" w:space="0" w:color="auto"/>
            <w:bottom w:val="none" w:sz="0" w:space="0" w:color="auto"/>
            <w:right w:val="none" w:sz="0" w:space="0" w:color="auto"/>
          </w:divBdr>
        </w:div>
      </w:divsChild>
    </w:div>
    <w:div w:id="261035078">
      <w:bodyDiv w:val="1"/>
      <w:marLeft w:val="0"/>
      <w:marRight w:val="0"/>
      <w:marTop w:val="0"/>
      <w:marBottom w:val="0"/>
      <w:divBdr>
        <w:top w:val="none" w:sz="0" w:space="0" w:color="auto"/>
        <w:left w:val="none" w:sz="0" w:space="0" w:color="auto"/>
        <w:bottom w:val="none" w:sz="0" w:space="0" w:color="auto"/>
        <w:right w:val="none" w:sz="0" w:space="0" w:color="auto"/>
      </w:divBdr>
      <w:divsChild>
        <w:div w:id="632029353">
          <w:marLeft w:val="0"/>
          <w:marRight w:val="0"/>
          <w:marTop w:val="0"/>
          <w:marBottom w:val="0"/>
          <w:divBdr>
            <w:top w:val="none" w:sz="0" w:space="0" w:color="auto"/>
            <w:left w:val="none" w:sz="0" w:space="0" w:color="auto"/>
            <w:bottom w:val="none" w:sz="0" w:space="0" w:color="auto"/>
            <w:right w:val="none" w:sz="0" w:space="0" w:color="auto"/>
          </w:divBdr>
        </w:div>
        <w:div w:id="1673557543">
          <w:marLeft w:val="0"/>
          <w:marRight w:val="0"/>
          <w:marTop w:val="0"/>
          <w:marBottom w:val="0"/>
          <w:divBdr>
            <w:top w:val="none" w:sz="0" w:space="0" w:color="auto"/>
            <w:left w:val="none" w:sz="0" w:space="0" w:color="auto"/>
            <w:bottom w:val="none" w:sz="0" w:space="0" w:color="auto"/>
            <w:right w:val="none" w:sz="0" w:space="0" w:color="auto"/>
          </w:divBdr>
        </w:div>
        <w:div w:id="1940136140">
          <w:marLeft w:val="0"/>
          <w:marRight w:val="0"/>
          <w:marTop w:val="0"/>
          <w:marBottom w:val="0"/>
          <w:divBdr>
            <w:top w:val="none" w:sz="0" w:space="0" w:color="auto"/>
            <w:left w:val="none" w:sz="0" w:space="0" w:color="auto"/>
            <w:bottom w:val="none" w:sz="0" w:space="0" w:color="auto"/>
            <w:right w:val="none" w:sz="0" w:space="0" w:color="auto"/>
          </w:divBdr>
        </w:div>
        <w:div w:id="1101608909">
          <w:marLeft w:val="0"/>
          <w:marRight w:val="0"/>
          <w:marTop w:val="0"/>
          <w:marBottom w:val="0"/>
          <w:divBdr>
            <w:top w:val="none" w:sz="0" w:space="0" w:color="auto"/>
            <w:left w:val="none" w:sz="0" w:space="0" w:color="auto"/>
            <w:bottom w:val="none" w:sz="0" w:space="0" w:color="auto"/>
            <w:right w:val="none" w:sz="0" w:space="0" w:color="auto"/>
          </w:divBdr>
        </w:div>
        <w:div w:id="961809789">
          <w:marLeft w:val="0"/>
          <w:marRight w:val="0"/>
          <w:marTop w:val="0"/>
          <w:marBottom w:val="0"/>
          <w:divBdr>
            <w:top w:val="none" w:sz="0" w:space="0" w:color="auto"/>
            <w:left w:val="none" w:sz="0" w:space="0" w:color="auto"/>
            <w:bottom w:val="none" w:sz="0" w:space="0" w:color="auto"/>
            <w:right w:val="none" w:sz="0" w:space="0" w:color="auto"/>
          </w:divBdr>
        </w:div>
        <w:div w:id="1996452768">
          <w:marLeft w:val="0"/>
          <w:marRight w:val="0"/>
          <w:marTop w:val="0"/>
          <w:marBottom w:val="0"/>
          <w:divBdr>
            <w:top w:val="none" w:sz="0" w:space="0" w:color="auto"/>
            <w:left w:val="none" w:sz="0" w:space="0" w:color="auto"/>
            <w:bottom w:val="none" w:sz="0" w:space="0" w:color="auto"/>
            <w:right w:val="none" w:sz="0" w:space="0" w:color="auto"/>
          </w:divBdr>
        </w:div>
        <w:div w:id="1845625161">
          <w:marLeft w:val="0"/>
          <w:marRight w:val="0"/>
          <w:marTop w:val="0"/>
          <w:marBottom w:val="0"/>
          <w:divBdr>
            <w:top w:val="none" w:sz="0" w:space="0" w:color="auto"/>
            <w:left w:val="none" w:sz="0" w:space="0" w:color="auto"/>
            <w:bottom w:val="none" w:sz="0" w:space="0" w:color="auto"/>
            <w:right w:val="none" w:sz="0" w:space="0" w:color="auto"/>
          </w:divBdr>
        </w:div>
        <w:div w:id="1334145973">
          <w:marLeft w:val="0"/>
          <w:marRight w:val="0"/>
          <w:marTop w:val="0"/>
          <w:marBottom w:val="0"/>
          <w:divBdr>
            <w:top w:val="none" w:sz="0" w:space="0" w:color="auto"/>
            <w:left w:val="none" w:sz="0" w:space="0" w:color="auto"/>
            <w:bottom w:val="none" w:sz="0" w:space="0" w:color="auto"/>
            <w:right w:val="none" w:sz="0" w:space="0" w:color="auto"/>
          </w:divBdr>
        </w:div>
        <w:div w:id="307636584">
          <w:marLeft w:val="0"/>
          <w:marRight w:val="0"/>
          <w:marTop w:val="0"/>
          <w:marBottom w:val="0"/>
          <w:divBdr>
            <w:top w:val="none" w:sz="0" w:space="0" w:color="auto"/>
            <w:left w:val="none" w:sz="0" w:space="0" w:color="auto"/>
            <w:bottom w:val="none" w:sz="0" w:space="0" w:color="auto"/>
            <w:right w:val="none" w:sz="0" w:space="0" w:color="auto"/>
          </w:divBdr>
        </w:div>
      </w:divsChild>
    </w:div>
    <w:div w:id="700253013">
      <w:bodyDiv w:val="1"/>
      <w:marLeft w:val="0"/>
      <w:marRight w:val="0"/>
      <w:marTop w:val="0"/>
      <w:marBottom w:val="0"/>
      <w:divBdr>
        <w:top w:val="none" w:sz="0" w:space="0" w:color="auto"/>
        <w:left w:val="none" w:sz="0" w:space="0" w:color="auto"/>
        <w:bottom w:val="none" w:sz="0" w:space="0" w:color="auto"/>
        <w:right w:val="none" w:sz="0" w:space="0" w:color="auto"/>
      </w:divBdr>
      <w:divsChild>
        <w:div w:id="234317519">
          <w:marLeft w:val="0"/>
          <w:marRight w:val="0"/>
          <w:marTop w:val="0"/>
          <w:marBottom w:val="0"/>
          <w:divBdr>
            <w:top w:val="none" w:sz="0" w:space="0" w:color="auto"/>
            <w:left w:val="none" w:sz="0" w:space="0" w:color="auto"/>
            <w:bottom w:val="none" w:sz="0" w:space="0" w:color="auto"/>
            <w:right w:val="none" w:sz="0" w:space="0" w:color="auto"/>
          </w:divBdr>
        </w:div>
        <w:div w:id="1109930695">
          <w:marLeft w:val="0"/>
          <w:marRight w:val="0"/>
          <w:marTop w:val="0"/>
          <w:marBottom w:val="0"/>
          <w:divBdr>
            <w:top w:val="none" w:sz="0" w:space="0" w:color="auto"/>
            <w:left w:val="none" w:sz="0" w:space="0" w:color="auto"/>
            <w:bottom w:val="none" w:sz="0" w:space="0" w:color="auto"/>
            <w:right w:val="none" w:sz="0" w:space="0" w:color="auto"/>
          </w:divBdr>
        </w:div>
        <w:div w:id="496069026">
          <w:marLeft w:val="0"/>
          <w:marRight w:val="0"/>
          <w:marTop w:val="0"/>
          <w:marBottom w:val="0"/>
          <w:divBdr>
            <w:top w:val="none" w:sz="0" w:space="0" w:color="auto"/>
            <w:left w:val="none" w:sz="0" w:space="0" w:color="auto"/>
            <w:bottom w:val="none" w:sz="0" w:space="0" w:color="auto"/>
            <w:right w:val="none" w:sz="0" w:space="0" w:color="auto"/>
          </w:divBdr>
        </w:div>
        <w:div w:id="107236198">
          <w:marLeft w:val="0"/>
          <w:marRight w:val="0"/>
          <w:marTop w:val="0"/>
          <w:marBottom w:val="0"/>
          <w:divBdr>
            <w:top w:val="none" w:sz="0" w:space="0" w:color="auto"/>
            <w:left w:val="none" w:sz="0" w:space="0" w:color="auto"/>
            <w:bottom w:val="none" w:sz="0" w:space="0" w:color="auto"/>
            <w:right w:val="none" w:sz="0" w:space="0" w:color="auto"/>
          </w:divBdr>
        </w:div>
        <w:div w:id="957299283">
          <w:marLeft w:val="0"/>
          <w:marRight w:val="0"/>
          <w:marTop w:val="0"/>
          <w:marBottom w:val="0"/>
          <w:divBdr>
            <w:top w:val="none" w:sz="0" w:space="0" w:color="auto"/>
            <w:left w:val="none" w:sz="0" w:space="0" w:color="auto"/>
            <w:bottom w:val="none" w:sz="0" w:space="0" w:color="auto"/>
            <w:right w:val="none" w:sz="0" w:space="0" w:color="auto"/>
          </w:divBdr>
        </w:div>
        <w:div w:id="147285611">
          <w:marLeft w:val="0"/>
          <w:marRight w:val="0"/>
          <w:marTop w:val="0"/>
          <w:marBottom w:val="0"/>
          <w:divBdr>
            <w:top w:val="none" w:sz="0" w:space="0" w:color="auto"/>
            <w:left w:val="none" w:sz="0" w:space="0" w:color="auto"/>
            <w:bottom w:val="none" w:sz="0" w:space="0" w:color="auto"/>
            <w:right w:val="none" w:sz="0" w:space="0" w:color="auto"/>
          </w:divBdr>
        </w:div>
        <w:div w:id="1287465365">
          <w:marLeft w:val="0"/>
          <w:marRight w:val="0"/>
          <w:marTop w:val="0"/>
          <w:marBottom w:val="0"/>
          <w:divBdr>
            <w:top w:val="none" w:sz="0" w:space="0" w:color="auto"/>
            <w:left w:val="none" w:sz="0" w:space="0" w:color="auto"/>
            <w:bottom w:val="none" w:sz="0" w:space="0" w:color="auto"/>
            <w:right w:val="none" w:sz="0" w:space="0" w:color="auto"/>
          </w:divBdr>
        </w:div>
        <w:div w:id="1152335583">
          <w:marLeft w:val="0"/>
          <w:marRight w:val="0"/>
          <w:marTop w:val="0"/>
          <w:marBottom w:val="0"/>
          <w:divBdr>
            <w:top w:val="none" w:sz="0" w:space="0" w:color="auto"/>
            <w:left w:val="none" w:sz="0" w:space="0" w:color="auto"/>
            <w:bottom w:val="none" w:sz="0" w:space="0" w:color="auto"/>
            <w:right w:val="none" w:sz="0" w:space="0" w:color="auto"/>
          </w:divBdr>
        </w:div>
        <w:div w:id="408769192">
          <w:marLeft w:val="0"/>
          <w:marRight w:val="0"/>
          <w:marTop w:val="0"/>
          <w:marBottom w:val="0"/>
          <w:divBdr>
            <w:top w:val="none" w:sz="0" w:space="0" w:color="auto"/>
            <w:left w:val="none" w:sz="0" w:space="0" w:color="auto"/>
            <w:bottom w:val="none" w:sz="0" w:space="0" w:color="auto"/>
            <w:right w:val="none" w:sz="0" w:space="0" w:color="auto"/>
          </w:divBdr>
        </w:div>
      </w:divsChild>
    </w:div>
    <w:div w:id="1280527611">
      <w:bodyDiv w:val="1"/>
      <w:marLeft w:val="0"/>
      <w:marRight w:val="0"/>
      <w:marTop w:val="0"/>
      <w:marBottom w:val="0"/>
      <w:divBdr>
        <w:top w:val="none" w:sz="0" w:space="0" w:color="auto"/>
        <w:left w:val="none" w:sz="0" w:space="0" w:color="auto"/>
        <w:bottom w:val="none" w:sz="0" w:space="0" w:color="auto"/>
        <w:right w:val="none" w:sz="0" w:space="0" w:color="auto"/>
      </w:divBdr>
      <w:divsChild>
        <w:div w:id="1017200145">
          <w:marLeft w:val="0"/>
          <w:marRight w:val="0"/>
          <w:marTop w:val="0"/>
          <w:marBottom w:val="0"/>
          <w:divBdr>
            <w:top w:val="none" w:sz="0" w:space="0" w:color="auto"/>
            <w:left w:val="none" w:sz="0" w:space="0" w:color="auto"/>
            <w:bottom w:val="none" w:sz="0" w:space="0" w:color="auto"/>
            <w:right w:val="none" w:sz="0" w:space="0" w:color="auto"/>
          </w:divBdr>
        </w:div>
        <w:div w:id="1020278964">
          <w:marLeft w:val="0"/>
          <w:marRight w:val="0"/>
          <w:marTop w:val="0"/>
          <w:marBottom w:val="0"/>
          <w:divBdr>
            <w:top w:val="none" w:sz="0" w:space="0" w:color="auto"/>
            <w:left w:val="none" w:sz="0" w:space="0" w:color="auto"/>
            <w:bottom w:val="none" w:sz="0" w:space="0" w:color="auto"/>
            <w:right w:val="none" w:sz="0" w:space="0" w:color="auto"/>
          </w:divBdr>
        </w:div>
        <w:div w:id="1853299133">
          <w:marLeft w:val="0"/>
          <w:marRight w:val="0"/>
          <w:marTop w:val="0"/>
          <w:marBottom w:val="0"/>
          <w:divBdr>
            <w:top w:val="none" w:sz="0" w:space="0" w:color="auto"/>
            <w:left w:val="none" w:sz="0" w:space="0" w:color="auto"/>
            <w:bottom w:val="none" w:sz="0" w:space="0" w:color="auto"/>
            <w:right w:val="none" w:sz="0" w:space="0" w:color="auto"/>
          </w:divBdr>
        </w:div>
        <w:div w:id="2101019817">
          <w:marLeft w:val="0"/>
          <w:marRight w:val="0"/>
          <w:marTop w:val="0"/>
          <w:marBottom w:val="0"/>
          <w:divBdr>
            <w:top w:val="none" w:sz="0" w:space="0" w:color="auto"/>
            <w:left w:val="none" w:sz="0" w:space="0" w:color="auto"/>
            <w:bottom w:val="none" w:sz="0" w:space="0" w:color="auto"/>
            <w:right w:val="none" w:sz="0" w:space="0" w:color="auto"/>
          </w:divBdr>
        </w:div>
        <w:div w:id="1382442849">
          <w:marLeft w:val="0"/>
          <w:marRight w:val="0"/>
          <w:marTop w:val="0"/>
          <w:marBottom w:val="0"/>
          <w:divBdr>
            <w:top w:val="none" w:sz="0" w:space="0" w:color="auto"/>
            <w:left w:val="none" w:sz="0" w:space="0" w:color="auto"/>
            <w:bottom w:val="none" w:sz="0" w:space="0" w:color="auto"/>
            <w:right w:val="none" w:sz="0" w:space="0" w:color="auto"/>
          </w:divBdr>
        </w:div>
        <w:div w:id="529880847">
          <w:marLeft w:val="0"/>
          <w:marRight w:val="0"/>
          <w:marTop w:val="0"/>
          <w:marBottom w:val="0"/>
          <w:divBdr>
            <w:top w:val="none" w:sz="0" w:space="0" w:color="auto"/>
            <w:left w:val="none" w:sz="0" w:space="0" w:color="auto"/>
            <w:bottom w:val="none" w:sz="0" w:space="0" w:color="auto"/>
            <w:right w:val="none" w:sz="0" w:space="0" w:color="auto"/>
          </w:divBdr>
        </w:div>
        <w:div w:id="195242149">
          <w:marLeft w:val="0"/>
          <w:marRight w:val="0"/>
          <w:marTop w:val="0"/>
          <w:marBottom w:val="0"/>
          <w:divBdr>
            <w:top w:val="none" w:sz="0" w:space="0" w:color="auto"/>
            <w:left w:val="none" w:sz="0" w:space="0" w:color="auto"/>
            <w:bottom w:val="none" w:sz="0" w:space="0" w:color="auto"/>
            <w:right w:val="none" w:sz="0" w:space="0" w:color="auto"/>
          </w:divBdr>
        </w:div>
        <w:div w:id="1171217765">
          <w:marLeft w:val="0"/>
          <w:marRight w:val="0"/>
          <w:marTop w:val="0"/>
          <w:marBottom w:val="0"/>
          <w:divBdr>
            <w:top w:val="none" w:sz="0" w:space="0" w:color="auto"/>
            <w:left w:val="none" w:sz="0" w:space="0" w:color="auto"/>
            <w:bottom w:val="none" w:sz="0" w:space="0" w:color="auto"/>
            <w:right w:val="none" w:sz="0" w:space="0" w:color="auto"/>
          </w:divBdr>
        </w:div>
        <w:div w:id="537163307">
          <w:marLeft w:val="0"/>
          <w:marRight w:val="0"/>
          <w:marTop w:val="0"/>
          <w:marBottom w:val="0"/>
          <w:divBdr>
            <w:top w:val="none" w:sz="0" w:space="0" w:color="auto"/>
            <w:left w:val="none" w:sz="0" w:space="0" w:color="auto"/>
            <w:bottom w:val="none" w:sz="0" w:space="0" w:color="auto"/>
            <w:right w:val="none" w:sz="0" w:space="0" w:color="auto"/>
          </w:divBdr>
        </w:div>
        <w:div w:id="226847322">
          <w:marLeft w:val="0"/>
          <w:marRight w:val="0"/>
          <w:marTop w:val="0"/>
          <w:marBottom w:val="0"/>
          <w:divBdr>
            <w:top w:val="none" w:sz="0" w:space="0" w:color="auto"/>
            <w:left w:val="none" w:sz="0" w:space="0" w:color="auto"/>
            <w:bottom w:val="none" w:sz="0" w:space="0" w:color="auto"/>
            <w:right w:val="none" w:sz="0" w:space="0" w:color="auto"/>
          </w:divBdr>
        </w:div>
        <w:div w:id="406192990">
          <w:marLeft w:val="0"/>
          <w:marRight w:val="0"/>
          <w:marTop w:val="0"/>
          <w:marBottom w:val="0"/>
          <w:divBdr>
            <w:top w:val="none" w:sz="0" w:space="0" w:color="auto"/>
            <w:left w:val="none" w:sz="0" w:space="0" w:color="auto"/>
            <w:bottom w:val="none" w:sz="0" w:space="0" w:color="auto"/>
            <w:right w:val="none" w:sz="0" w:space="0" w:color="auto"/>
          </w:divBdr>
        </w:div>
        <w:div w:id="1013605232">
          <w:marLeft w:val="0"/>
          <w:marRight w:val="0"/>
          <w:marTop w:val="0"/>
          <w:marBottom w:val="0"/>
          <w:divBdr>
            <w:top w:val="none" w:sz="0" w:space="0" w:color="auto"/>
            <w:left w:val="none" w:sz="0" w:space="0" w:color="auto"/>
            <w:bottom w:val="none" w:sz="0" w:space="0" w:color="auto"/>
            <w:right w:val="none" w:sz="0" w:space="0" w:color="auto"/>
          </w:divBdr>
        </w:div>
        <w:div w:id="1780636132">
          <w:marLeft w:val="0"/>
          <w:marRight w:val="0"/>
          <w:marTop w:val="0"/>
          <w:marBottom w:val="0"/>
          <w:divBdr>
            <w:top w:val="none" w:sz="0" w:space="0" w:color="auto"/>
            <w:left w:val="none" w:sz="0" w:space="0" w:color="auto"/>
            <w:bottom w:val="none" w:sz="0" w:space="0" w:color="auto"/>
            <w:right w:val="none" w:sz="0" w:space="0" w:color="auto"/>
          </w:divBdr>
        </w:div>
        <w:div w:id="578759950">
          <w:marLeft w:val="0"/>
          <w:marRight w:val="0"/>
          <w:marTop w:val="0"/>
          <w:marBottom w:val="0"/>
          <w:divBdr>
            <w:top w:val="none" w:sz="0" w:space="0" w:color="auto"/>
            <w:left w:val="none" w:sz="0" w:space="0" w:color="auto"/>
            <w:bottom w:val="none" w:sz="0" w:space="0" w:color="auto"/>
            <w:right w:val="none" w:sz="0" w:space="0" w:color="auto"/>
          </w:divBdr>
        </w:div>
        <w:div w:id="151799621">
          <w:marLeft w:val="0"/>
          <w:marRight w:val="0"/>
          <w:marTop w:val="0"/>
          <w:marBottom w:val="0"/>
          <w:divBdr>
            <w:top w:val="none" w:sz="0" w:space="0" w:color="auto"/>
            <w:left w:val="none" w:sz="0" w:space="0" w:color="auto"/>
            <w:bottom w:val="none" w:sz="0" w:space="0" w:color="auto"/>
            <w:right w:val="none" w:sz="0" w:space="0" w:color="auto"/>
          </w:divBdr>
        </w:div>
      </w:divsChild>
    </w:div>
    <w:div w:id="1290209775">
      <w:bodyDiv w:val="1"/>
      <w:marLeft w:val="0"/>
      <w:marRight w:val="0"/>
      <w:marTop w:val="0"/>
      <w:marBottom w:val="0"/>
      <w:divBdr>
        <w:top w:val="none" w:sz="0" w:space="0" w:color="auto"/>
        <w:left w:val="none" w:sz="0" w:space="0" w:color="auto"/>
        <w:bottom w:val="none" w:sz="0" w:space="0" w:color="auto"/>
        <w:right w:val="none" w:sz="0" w:space="0" w:color="auto"/>
      </w:divBdr>
      <w:divsChild>
        <w:div w:id="1239288503">
          <w:marLeft w:val="0"/>
          <w:marRight w:val="0"/>
          <w:marTop w:val="0"/>
          <w:marBottom w:val="0"/>
          <w:divBdr>
            <w:top w:val="none" w:sz="0" w:space="0" w:color="auto"/>
            <w:left w:val="none" w:sz="0" w:space="0" w:color="auto"/>
            <w:bottom w:val="none" w:sz="0" w:space="0" w:color="auto"/>
            <w:right w:val="none" w:sz="0" w:space="0" w:color="auto"/>
          </w:divBdr>
          <w:divsChild>
            <w:div w:id="503013288">
              <w:marLeft w:val="0"/>
              <w:marRight w:val="0"/>
              <w:marTop w:val="0"/>
              <w:marBottom w:val="0"/>
              <w:divBdr>
                <w:top w:val="none" w:sz="0" w:space="0" w:color="auto"/>
                <w:left w:val="none" w:sz="0" w:space="0" w:color="auto"/>
                <w:bottom w:val="none" w:sz="0" w:space="0" w:color="auto"/>
                <w:right w:val="none" w:sz="0" w:space="0" w:color="auto"/>
              </w:divBdr>
              <w:divsChild>
                <w:div w:id="1536380452">
                  <w:marLeft w:val="0"/>
                  <w:marRight w:val="0"/>
                  <w:marTop w:val="0"/>
                  <w:marBottom w:val="0"/>
                  <w:divBdr>
                    <w:top w:val="none" w:sz="0" w:space="0" w:color="auto"/>
                    <w:left w:val="none" w:sz="0" w:space="0" w:color="auto"/>
                    <w:bottom w:val="none" w:sz="0" w:space="0" w:color="auto"/>
                    <w:right w:val="none" w:sz="0" w:space="0" w:color="auto"/>
                  </w:divBdr>
                </w:div>
                <w:div w:id="1496143200">
                  <w:marLeft w:val="0"/>
                  <w:marRight w:val="0"/>
                  <w:marTop w:val="0"/>
                  <w:marBottom w:val="0"/>
                  <w:divBdr>
                    <w:top w:val="none" w:sz="0" w:space="0" w:color="auto"/>
                    <w:left w:val="none" w:sz="0" w:space="0" w:color="auto"/>
                    <w:bottom w:val="none" w:sz="0" w:space="0" w:color="auto"/>
                    <w:right w:val="none" w:sz="0" w:space="0" w:color="auto"/>
                  </w:divBdr>
                </w:div>
                <w:div w:id="1887184573">
                  <w:marLeft w:val="0"/>
                  <w:marRight w:val="0"/>
                  <w:marTop w:val="0"/>
                  <w:marBottom w:val="0"/>
                  <w:divBdr>
                    <w:top w:val="none" w:sz="0" w:space="0" w:color="auto"/>
                    <w:left w:val="none" w:sz="0" w:space="0" w:color="auto"/>
                    <w:bottom w:val="none" w:sz="0" w:space="0" w:color="auto"/>
                    <w:right w:val="none" w:sz="0" w:space="0" w:color="auto"/>
                  </w:divBdr>
                </w:div>
                <w:div w:id="815609608">
                  <w:marLeft w:val="0"/>
                  <w:marRight w:val="0"/>
                  <w:marTop w:val="0"/>
                  <w:marBottom w:val="0"/>
                  <w:divBdr>
                    <w:top w:val="none" w:sz="0" w:space="0" w:color="auto"/>
                    <w:left w:val="none" w:sz="0" w:space="0" w:color="auto"/>
                    <w:bottom w:val="none" w:sz="0" w:space="0" w:color="auto"/>
                    <w:right w:val="none" w:sz="0" w:space="0" w:color="auto"/>
                  </w:divBdr>
                </w:div>
                <w:div w:id="1065228146">
                  <w:marLeft w:val="0"/>
                  <w:marRight w:val="0"/>
                  <w:marTop w:val="0"/>
                  <w:marBottom w:val="0"/>
                  <w:divBdr>
                    <w:top w:val="none" w:sz="0" w:space="0" w:color="auto"/>
                    <w:left w:val="none" w:sz="0" w:space="0" w:color="auto"/>
                    <w:bottom w:val="none" w:sz="0" w:space="0" w:color="auto"/>
                    <w:right w:val="none" w:sz="0" w:space="0" w:color="auto"/>
                  </w:divBdr>
                </w:div>
                <w:div w:id="1823112685">
                  <w:marLeft w:val="0"/>
                  <w:marRight w:val="0"/>
                  <w:marTop w:val="0"/>
                  <w:marBottom w:val="0"/>
                  <w:divBdr>
                    <w:top w:val="none" w:sz="0" w:space="0" w:color="auto"/>
                    <w:left w:val="none" w:sz="0" w:space="0" w:color="auto"/>
                    <w:bottom w:val="none" w:sz="0" w:space="0" w:color="auto"/>
                    <w:right w:val="none" w:sz="0" w:space="0" w:color="auto"/>
                  </w:divBdr>
                </w:div>
                <w:div w:id="655450032">
                  <w:marLeft w:val="0"/>
                  <w:marRight w:val="0"/>
                  <w:marTop w:val="0"/>
                  <w:marBottom w:val="0"/>
                  <w:divBdr>
                    <w:top w:val="none" w:sz="0" w:space="0" w:color="auto"/>
                    <w:left w:val="none" w:sz="0" w:space="0" w:color="auto"/>
                    <w:bottom w:val="none" w:sz="0" w:space="0" w:color="auto"/>
                    <w:right w:val="none" w:sz="0" w:space="0" w:color="auto"/>
                  </w:divBdr>
                </w:div>
                <w:div w:id="130097476">
                  <w:marLeft w:val="0"/>
                  <w:marRight w:val="0"/>
                  <w:marTop w:val="0"/>
                  <w:marBottom w:val="0"/>
                  <w:divBdr>
                    <w:top w:val="none" w:sz="0" w:space="0" w:color="auto"/>
                    <w:left w:val="none" w:sz="0" w:space="0" w:color="auto"/>
                    <w:bottom w:val="none" w:sz="0" w:space="0" w:color="auto"/>
                    <w:right w:val="none" w:sz="0" w:space="0" w:color="auto"/>
                  </w:divBdr>
                </w:div>
                <w:div w:id="943928156">
                  <w:marLeft w:val="0"/>
                  <w:marRight w:val="0"/>
                  <w:marTop w:val="0"/>
                  <w:marBottom w:val="0"/>
                  <w:divBdr>
                    <w:top w:val="none" w:sz="0" w:space="0" w:color="auto"/>
                    <w:left w:val="none" w:sz="0" w:space="0" w:color="auto"/>
                    <w:bottom w:val="none" w:sz="0" w:space="0" w:color="auto"/>
                    <w:right w:val="none" w:sz="0" w:space="0" w:color="auto"/>
                  </w:divBdr>
                </w:div>
                <w:div w:id="1617713809">
                  <w:marLeft w:val="0"/>
                  <w:marRight w:val="0"/>
                  <w:marTop w:val="0"/>
                  <w:marBottom w:val="0"/>
                  <w:divBdr>
                    <w:top w:val="none" w:sz="0" w:space="0" w:color="auto"/>
                    <w:left w:val="none" w:sz="0" w:space="0" w:color="auto"/>
                    <w:bottom w:val="none" w:sz="0" w:space="0" w:color="auto"/>
                    <w:right w:val="none" w:sz="0" w:space="0" w:color="auto"/>
                  </w:divBdr>
                </w:div>
                <w:div w:id="391123990">
                  <w:marLeft w:val="0"/>
                  <w:marRight w:val="0"/>
                  <w:marTop w:val="0"/>
                  <w:marBottom w:val="0"/>
                  <w:divBdr>
                    <w:top w:val="none" w:sz="0" w:space="0" w:color="auto"/>
                    <w:left w:val="none" w:sz="0" w:space="0" w:color="auto"/>
                    <w:bottom w:val="none" w:sz="0" w:space="0" w:color="auto"/>
                    <w:right w:val="none" w:sz="0" w:space="0" w:color="auto"/>
                  </w:divBdr>
                </w:div>
                <w:div w:id="260800078">
                  <w:marLeft w:val="0"/>
                  <w:marRight w:val="0"/>
                  <w:marTop w:val="0"/>
                  <w:marBottom w:val="0"/>
                  <w:divBdr>
                    <w:top w:val="none" w:sz="0" w:space="0" w:color="auto"/>
                    <w:left w:val="none" w:sz="0" w:space="0" w:color="auto"/>
                    <w:bottom w:val="none" w:sz="0" w:space="0" w:color="auto"/>
                    <w:right w:val="none" w:sz="0" w:space="0" w:color="auto"/>
                  </w:divBdr>
                </w:div>
                <w:div w:id="289167102">
                  <w:marLeft w:val="0"/>
                  <w:marRight w:val="0"/>
                  <w:marTop w:val="0"/>
                  <w:marBottom w:val="0"/>
                  <w:divBdr>
                    <w:top w:val="none" w:sz="0" w:space="0" w:color="auto"/>
                    <w:left w:val="none" w:sz="0" w:space="0" w:color="auto"/>
                    <w:bottom w:val="none" w:sz="0" w:space="0" w:color="auto"/>
                    <w:right w:val="none" w:sz="0" w:space="0" w:color="auto"/>
                  </w:divBdr>
                </w:div>
                <w:div w:id="21082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234">
          <w:marLeft w:val="0"/>
          <w:marRight w:val="0"/>
          <w:marTop w:val="0"/>
          <w:marBottom w:val="0"/>
          <w:divBdr>
            <w:top w:val="none" w:sz="0" w:space="0" w:color="auto"/>
            <w:left w:val="none" w:sz="0" w:space="0" w:color="auto"/>
            <w:bottom w:val="none" w:sz="0" w:space="0" w:color="auto"/>
            <w:right w:val="none" w:sz="0" w:space="0" w:color="auto"/>
          </w:divBdr>
        </w:div>
        <w:div w:id="1540163824">
          <w:marLeft w:val="0"/>
          <w:marRight w:val="0"/>
          <w:marTop w:val="0"/>
          <w:marBottom w:val="0"/>
          <w:divBdr>
            <w:top w:val="none" w:sz="0" w:space="0" w:color="auto"/>
            <w:left w:val="none" w:sz="0" w:space="0" w:color="auto"/>
            <w:bottom w:val="none" w:sz="0" w:space="0" w:color="auto"/>
            <w:right w:val="none" w:sz="0" w:space="0" w:color="auto"/>
          </w:divBdr>
        </w:div>
        <w:div w:id="1510829989">
          <w:marLeft w:val="0"/>
          <w:marRight w:val="0"/>
          <w:marTop w:val="0"/>
          <w:marBottom w:val="0"/>
          <w:divBdr>
            <w:top w:val="none" w:sz="0" w:space="0" w:color="auto"/>
            <w:left w:val="none" w:sz="0" w:space="0" w:color="auto"/>
            <w:bottom w:val="none" w:sz="0" w:space="0" w:color="auto"/>
            <w:right w:val="none" w:sz="0" w:space="0" w:color="auto"/>
          </w:divBdr>
        </w:div>
        <w:div w:id="935096485">
          <w:marLeft w:val="0"/>
          <w:marRight w:val="0"/>
          <w:marTop w:val="0"/>
          <w:marBottom w:val="0"/>
          <w:divBdr>
            <w:top w:val="none" w:sz="0" w:space="0" w:color="auto"/>
            <w:left w:val="none" w:sz="0" w:space="0" w:color="auto"/>
            <w:bottom w:val="none" w:sz="0" w:space="0" w:color="auto"/>
            <w:right w:val="none" w:sz="0" w:space="0" w:color="auto"/>
          </w:divBdr>
        </w:div>
        <w:div w:id="256910368">
          <w:marLeft w:val="0"/>
          <w:marRight w:val="0"/>
          <w:marTop w:val="0"/>
          <w:marBottom w:val="0"/>
          <w:divBdr>
            <w:top w:val="none" w:sz="0" w:space="0" w:color="auto"/>
            <w:left w:val="none" w:sz="0" w:space="0" w:color="auto"/>
            <w:bottom w:val="none" w:sz="0" w:space="0" w:color="auto"/>
            <w:right w:val="none" w:sz="0" w:space="0" w:color="auto"/>
          </w:divBdr>
        </w:div>
        <w:div w:id="2079668958">
          <w:marLeft w:val="0"/>
          <w:marRight w:val="0"/>
          <w:marTop w:val="0"/>
          <w:marBottom w:val="0"/>
          <w:divBdr>
            <w:top w:val="none" w:sz="0" w:space="0" w:color="auto"/>
            <w:left w:val="none" w:sz="0" w:space="0" w:color="auto"/>
            <w:bottom w:val="none" w:sz="0" w:space="0" w:color="auto"/>
            <w:right w:val="none" w:sz="0" w:space="0" w:color="auto"/>
          </w:divBdr>
        </w:div>
        <w:div w:id="1914194055">
          <w:marLeft w:val="0"/>
          <w:marRight w:val="0"/>
          <w:marTop w:val="0"/>
          <w:marBottom w:val="0"/>
          <w:divBdr>
            <w:top w:val="none" w:sz="0" w:space="0" w:color="auto"/>
            <w:left w:val="none" w:sz="0" w:space="0" w:color="auto"/>
            <w:bottom w:val="none" w:sz="0" w:space="0" w:color="auto"/>
            <w:right w:val="none" w:sz="0" w:space="0" w:color="auto"/>
          </w:divBdr>
        </w:div>
        <w:div w:id="41171199">
          <w:marLeft w:val="0"/>
          <w:marRight w:val="0"/>
          <w:marTop w:val="0"/>
          <w:marBottom w:val="0"/>
          <w:divBdr>
            <w:top w:val="none" w:sz="0" w:space="0" w:color="auto"/>
            <w:left w:val="none" w:sz="0" w:space="0" w:color="auto"/>
            <w:bottom w:val="none" w:sz="0" w:space="0" w:color="auto"/>
            <w:right w:val="none" w:sz="0" w:space="0" w:color="auto"/>
          </w:divBdr>
        </w:div>
        <w:div w:id="584146795">
          <w:marLeft w:val="0"/>
          <w:marRight w:val="0"/>
          <w:marTop w:val="0"/>
          <w:marBottom w:val="0"/>
          <w:divBdr>
            <w:top w:val="none" w:sz="0" w:space="0" w:color="auto"/>
            <w:left w:val="none" w:sz="0" w:space="0" w:color="auto"/>
            <w:bottom w:val="none" w:sz="0" w:space="0" w:color="auto"/>
            <w:right w:val="none" w:sz="0" w:space="0" w:color="auto"/>
          </w:divBdr>
        </w:div>
        <w:div w:id="575016958">
          <w:marLeft w:val="0"/>
          <w:marRight w:val="0"/>
          <w:marTop w:val="0"/>
          <w:marBottom w:val="0"/>
          <w:divBdr>
            <w:top w:val="none" w:sz="0" w:space="0" w:color="auto"/>
            <w:left w:val="none" w:sz="0" w:space="0" w:color="auto"/>
            <w:bottom w:val="none" w:sz="0" w:space="0" w:color="auto"/>
            <w:right w:val="none" w:sz="0" w:space="0" w:color="auto"/>
          </w:divBdr>
        </w:div>
        <w:div w:id="86997743">
          <w:marLeft w:val="0"/>
          <w:marRight w:val="0"/>
          <w:marTop w:val="0"/>
          <w:marBottom w:val="0"/>
          <w:divBdr>
            <w:top w:val="none" w:sz="0" w:space="0" w:color="auto"/>
            <w:left w:val="none" w:sz="0" w:space="0" w:color="auto"/>
            <w:bottom w:val="none" w:sz="0" w:space="0" w:color="auto"/>
            <w:right w:val="none" w:sz="0" w:space="0" w:color="auto"/>
          </w:divBdr>
        </w:div>
        <w:div w:id="1567259208">
          <w:marLeft w:val="0"/>
          <w:marRight w:val="0"/>
          <w:marTop w:val="0"/>
          <w:marBottom w:val="0"/>
          <w:divBdr>
            <w:top w:val="none" w:sz="0" w:space="0" w:color="auto"/>
            <w:left w:val="none" w:sz="0" w:space="0" w:color="auto"/>
            <w:bottom w:val="none" w:sz="0" w:space="0" w:color="auto"/>
            <w:right w:val="none" w:sz="0" w:space="0" w:color="auto"/>
          </w:divBdr>
        </w:div>
        <w:div w:id="1071152124">
          <w:marLeft w:val="0"/>
          <w:marRight w:val="0"/>
          <w:marTop w:val="0"/>
          <w:marBottom w:val="0"/>
          <w:divBdr>
            <w:top w:val="none" w:sz="0" w:space="0" w:color="auto"/>
            <w:left w:val="none" w:sz="0" w:space="0" w:color="auto"/>
            <w:bottom w:val="none" w:sz="0" w:space="0" w:color="auto"/>
            <w:right w:val="none" w:sz="0" w:space="0" w:color="auto"/>
          </w:divBdr>
        </w:div>
        <w:div w:id="322854521">
          <w:marLeft w:val="0"/>
          <w:marRight w:val="0"/>
          <w:marTop w:val="0"/>
          <w:marBottom w:val="0"/>
          <w:divBdr>
            <w:top w:val="none" w:sz="0" w:space="0" w:color="auto"/>
            <w:left w:val="none" w:sz="0" w:space="0" w:color="auto"/>
            <w:bottom w:val="none" w:sz="0" w:space="0" w:color="auto"/>
            <w:right w:val="none" w:sz="0" w:space="0" w:color="auto"/>
          </w:divBdr>
        </w:div>
        <w:div w:id="1899121457">
          <w:marLeft w:val="0"/>
          <w:marRight w:val="0"/>
          <w:marTop w:val="0"/>
          <w:marBottom w:val="0"/>
          <w:divBdr>
            <w:top w:val="none" w:sz="0" w:space="0" w:color="auto"/>
            <w:left w:val="none" w:sz="0" w:space="0" w:color="auto"/>
            <w:bottom w:val="none" w:sz="0" w:space="0" w:color="auto"/>
            <w:right w:val="none" w:sz="0" w:space="0" w:color="auto"/>
          </w:divBdr>
        </w:div>
        <w:div w:id="1003168176">
          <w:marLeft w:val="0"/>
          <w:marRight w:val="0"/>
          <w:marTop w:val="0"/>
          <w:marBottom w:val="0"/>
          <w:divBdr>
            <w:top w:val="none" w:sz="0" w:space="0" w:color="auto"/>
            <w:left w:val="none" w:sz="0" w:space="0" w:color="auto"/>
            <w:bottom w:val="none" w:sz="0" w:space="0" w:color="auto"/>
            <w:right w:val="none" w:sz="0" w:space="0" w:color="auto"/>
          </w:divBdr>
        </w:div>
        <w:div w:id="1839343564">
          <w:marLeft w:val="0"/>
          <w:marRight w:val="0"/>
          <w:marTop w:val="0"/>
          <w:marBottom w:val="0"/>
          <w:divBdr>
            <w:top w:val="none" w:sz="0" w:space="0" w:color="auto"/>
            <w:left w:val="none" w:sz="0" w:space="0" w:color="auto"/>
            <w:bottom w:val="none" w:sz="0" w:space="0" w:color="auto"/>
            <w:right w:val="none" w:sz="0" w:space="0" w:color="auto"/>
          </w:divBdr>
        </w:div>
      </w:divsChild>
    </w:div>
    <w:div w:id="1343967877">
      <w:bodyDiv w:val="1"/>
      <w:marLeft w:val="0"/>
      <w:marRight w:val="0"/>
      <w:marTop w:val="0"/>
      <w:marBottom w:val="0"/>
      <w:divBdr>
        <w:top w:val="none" w:sz="0" w:space="0" w:color="auto"/>
        <w:left w:val="none" w:sz="0" w:space="0" w:color="auto"/>
        <w:bottom w:val="none" w:sz="0" w:space="0" w:color="auto"/>
        <w:right w:val="none" w:sz="0" w:space="0" w:color="auto"/>
      </w:divBdr>
      <w:divsChild>
        <w:div w:id="631254932">
          <w:marLeft w:val="0"/>
          <w:marRight w:val="0"/>
          <w:marTop w:val="0"/>
          <w:marBottom w:val="0"/>
          <w:divBdr>
            <w:top w:val="none" w:sz="0" w:space="0" w:color="auto"/>
            <w:left w:val="none" w:sz="0" w:space="0" w:color="auto"/>
            <w:bottom w:val="none" w:sz="0" w:space="0" w:color="auto"/>
            <w:right w:val="none" w:sz="0" w:space="0" w:color="auto"/>
          </w:divBdr>
        </w:div>
        <w:div w:id="1475485412">
          <w:marLeft w:val="0"/>
          <w:marRight w:val="0"/>
          <w:marTop w:val="0"/>
          <w:marBottom w:val="0"/>
          <w:divBdr>
            <w:top w:val="none" w:sz="0" w:space="0" w:color="auto"/>
            <w:left w:val="none" w:sz="0" w:space="0" w:color="auto"/>
            <w:bottom w:val="none" w:sz="0" w:space="0" w:color="auto"/>
            <w:right w:val="none" w:sz="0" w:space="0" w:color="auto"/>
          </w:divBdr>
        </w:div>
        <w:div w:id="760562360">
          <w:marLeft w:val="0"/>
          <w:marRight w:val="0"/>
          <w:marTop w:val="0"/>
          <w:marBottom w:val="0"/>
          <w:divBdr>
            <w:top w:val="none" w:sz="0" w:space="0" w:color="auto"/>
            <w:left w:val="none" w:sz="0" w:space="0" w:color="auto"/>
            <w:bottom w:val="none" w:sz="0" w:space="0" w:color="auto"/>
            <w:right w:val="none" w:sz="0" w:space="0" w:color="auto"/>
          </w:divBdr>
        </w:div>
        <w:div w:id="744763213">
          <w:marLeft w:val="0"/>
          <w:marRight w:val="0"/>
          <w:marTop w:val="0"/>
          <w:marBottom w:val="0"/>
          <w:divBdr>
            <w:top w:val="none" w:sz="0" w:space="0" w:color="auto"/>
            <w:left w:val="none" w:sz="0" w:space="0" w:color="auto"/>
            <w:bottom w:val="none" w:sz="0" w:space="0" w:color="auto"/>
            <w:right w:val="none" w:sz="0" w:space="0" w:color="auto"/>
          </w:divBdr>
        </w:div>
        <w:div w:id="850486720">
          <w:marLeft w:val="0"/>
          <w:marRight w:val="0"/>
          <w:marTop w:val="0"/>
          <w:marBottom w:val="0"/>
          <w:divBdr>
            <w:top w:val="none" w:sz="0" w:space="0" w:color="auto"/>
            <w:left w:val="none" w:sz="0" w:space="0" w:color="auto"/>
            <w:bottom w:val="none" w:sz="0" w:space="0" w:color="auto"/>
            <w:right w:val="none" w:sz="0" w:space="0" w:color="auto"/>
          </w:divBdr>
        </w:div>
        <w:div w:id="481239324">
          <w:marLeft w:val="0"/>
          <w:marRight w:val="0"/>
          <w:marTop w:val="0"/>
          <w:marBottom w:val="0"/>
          <w:divBdr>
            <w:top w:val="none" w:sz="0" w:space="0" w:color="auto"/>
            <w:left w:val="none" w:sz="0" w:space="0" w:color="auto"/>
            <w:bottom w:val="none" w:sz="0" w:space="0" w:color="auto"/>
            <w:right w:val="none" w:sz="0" w:space="0" w:color="auto"/>
          </w:divBdr>
        </w:div>
      </w:divsChild>
    </w:div>
    <w:div w:id="1540505251">
      <w:bodyDiv w:val="1"/>
      <w:marLeft w:val="0"/>
      <w:marRight w:val="0"/>
      <w:marTop w:val="0"/>
      <w:marBottom w:val="0"/>
      <w:divBdr>
        <w:top w:val="none" w:sz="0" w:space="0" w:color="auto"/>
        <w:left w:val="none" w:sz="0" w:space="0" w:color="auto"/>
        <w:bottom w:val="none" w:sz="0" w:space="0" w:color="auto"/>
        <w:right w:val="none" w:sz="0" w:space="0" w:color="auto"/>
      </w:divBdr>
      <w:divsChild>
        <w:div w:id="172375835">
          <w:marLeft w:val="0"/>
          <w:marRight w:val="0"/>
          <w:marTop w:val="0"/>
          <w:marBottom w:val="0"/>
          <w:divBdr>
            <w:top w:val="none" w:sz="0" w:space="0" w:color="auto"/>
            <w:left w:val="none" w:sz="0" w:space="0" w:color="auto"/>
            <w:bottom w:val="none" w:sz="0" w:space="0" w:color="auto"/>
            <w:right w:val="none" w:sz="0" w:space="0" w:color="auto"/>
          </w:divBdr>
        </w:div>
        <w:div w:id="414399932">
          <w:marLeft w:val="0"/>
          <w:marRight w:val="0"/>
          <w:marTop w:val="0"/>
          <w:marBottom w:val="0"/>
          <w:divBdr>
            <w:top w:val="none" w:sz="0" w:space="0" w:color="auto"/>
            <w:left w:val="none" w:sz="0" w:space="0" w:color="auto"/>
            <w:bottom w:val="none" w:sz="0" w:space="0" w:color="auto"/>
            <w:right w:val="none" w:sz="0" w:space="0" w:color="auto"/>
          </w:divBdr>
        </w:div>
        <w:div w:id="2121217847">
          <w:marLeft w:val="0"/>
          <w:marRight w:val="0"/>
          <w:marTop w:val="0"/>
          <w:marBottom w:val="0"/>
          <w:divBdr>
            <w:top w:val="none" w:sz="0" w:space="0" w:color="auto"/>
            <w:left w:val="none" w:sz="0" w:space="0" w:color="auto"/>
            <w:bottom w:val="none" w:sz="0" w:space="0" w:color="auto"/>
            <w:right w:val="none" w:sz="0" w:space="0" w:color="auto"/>
          </w:divBdr>
        </w:div>
        <w:div w:id="1388214875">
          <w:marLeft w:val="0"/>
          <w:marRight w:val="0"/>
          <w:marTop w:val="0"/>
          <w:marBottom w:val="0"/>
          <w:divBdr>
            <w:top w:val="none" w:sz="0" w:space="0" w:color="auto"/>
            <w:left w:val="none" w:sz="0" w:space="0" w:color="auto"/>
            <w:bottom w:val="none" w:sz="0" w:space="0" w:color="auto"/>
            <w:right w:val="none" w:sz="0" w:space="0" w:color="auto"/>
          </w:divBdr>
        </w:div>
        <w:div w:id="378943880">
          <w:marLeft w:val="0"/>
          <w:marRight w:val="0"/>
          <w:marTop w:val="0"/>
          <w:marBottom w:val="0"/>
          <w:divBdr>
            <w:top w:val="none" w:sz="0" w:space="0" w:color="auto"/>
            <w:left w:val="none" w:sz="0" w:space="0" w:color="auto"/>
            <w:bottom w:val="none" w:sz="0" w:space="0" w:color="auto"/>
            <w:right w:val="none" w:sz="0" w:space="0" w:color="auto"/>
          </w:divBdr>
        </w:div>
        <w:div w:id="960913152">
          <w:marLeft w:val="0"/>
          <w:marRight w:val="0"/>
          <w:marTop w:val="0"/>
          <w:marBottom w:val="0"/>
          <w:divBdr>
            <w:top w:val="none" w:sz="0" w:space="0" w:color="auto"/>
            <w:left w:val="none" w:sz="0" w:space="0" w:color="auto"/>
            <w:bottom w:val="none" w:sz="0" w:space="0" w:color="auto"/>
            <w:right w:val="none" w:sz="0" w:space="0" w:color="auto"/>
          </w:divBdr>
        </w:div>
        <w:div w:id="654139705">
          <w:marLeft w:val="0"/>
          <w:marRight w:val="0"/>
          <w:marTop w:val="0"/>
          <w:marBottom w:val="0"/>
          <w:divBdr>
            <w:top w:val="none" w:sz="0" w:space="0" w:color="auto"/>
            <w:left w:val="none" w:sz="0" w:space="0" w:color="auto"/>
            <w:bottom w:val="none" w:sz="0" w:space="0" w:color="auto"/>
            <w:right w:val="none" w:sz="0" w:space="0" w:color="auto"/>
          </w:divBdr>
        </w:div>
        <w:div w:id="1508135089">
          <w:marLeft w:val="0"/>
          <w:marRight w:val="0"/>
          <w:marTop w:val="0"/>
          <w:marBottom w:val="0"/>
          <w:divBdr>
            <w:top w:val="none" w:sz="0" w:space="0" w:color="auto"/>
            <w:left w:val="none" w:sz="0" w:space="0" w:color="auto"/>
            <w:bottom w:val="none" w:sz="0" w:space="0" w:color="auto"/>
            <w:right w:val="none" w:sz="0" w:space="0" w:color="auto"/>
          </w:divBdr>
        </w:div>
        <w:div w:id="716121115">
          <w:marLeft w:val="0"/>
          <w:marRight w:val="0"/>
          <w:marTop w:val="0"/>
          <w:marBottom w:val="0"/>
          <w:divBdr>
            <w:top w:val="none" w:sz="0" w:space="0" w:color="auto"/>
            <w:left w:val="none" w:sz="0" w:space="0" w:color="auto"/>
            <w:bottom w:val="none" w:sz="0" w:space="0" w:color="auto"/>
            <w:right w:val="none" w:sz="0" w:space="0" w:color="auto"/>
          </w:divBdr>
        </w:div>
        <w:div w:id="765661965">
          <w:marLeft w:val="0"/>
          <w:marRight w:val="0"/>
          <w:marTop w:val="0"/>
          <w:marBottom w:val="0"/>
          <w:divBdr>
            <w:top w:val="none" w:sz="0" w:space="0" w:color="auto"/>
            <w:left w:val="none" w:sz="0" w:space="0" w:color="auto"/>
            <w:bottom w:val="none" w:sz="0" w:space="0" w:color="auto"/>
            <w:right w:val="none" w:sz="0" w:space="0" w:color="auto"/>
          </w:divBdr>
        </w:div>
        <w:div w:id="1954046859">
          <w:marLeft w:val="0"/>
          <w:marRight w:val="0"/>
          <w:marTop w:val="0"/>
          <w:marBottom w:val="0"/>
          <w:divBdr>
            <w:top w:val="none" w:sz="0" w:space="0" w:color="auto"/>
            <w:left w:val="none" w:sz="0" w:space="0" w:color="auto"/>
            <w:bottom w:val="none" w:sz="0" w:space="0" w:color="auto"/>
            <w:right w:val="none" w:sz="0" w:space="0" w:color="auto"/>
          </w:divBdr>
        </w:div>
        <w:div w:id="1897693008">
          <w:marLeft w:val="0"/>
          <w:marRight w:val="0"/>
          <w:marTop w:val="0"/>
          <w:marBottom w:val="0"/>
          <w:divBdr>
            <w:top w:val="none" w:sz="0" w:space="0" w:color="auto"/>
            <w:left w:val="none" w:sz="0" w:space="0" w:color="auto"/>
            <w:bottom w:val="none" w:sz="0" w:space="0" w:color="auto"/>
            <w:right w:val="none" w:sz="0" w:space="0" w:color="auto"/>
          </w:divBdr>
        </w:div>
        <w:div w:id="1218780119">
          <w:marLeft w:val="0"/>
          <w:marRight w:val="0"/>
          <w:marTop w:val="0"/>
          <w:marBottom w:val="0"/>
          <w:divBdr>
            <w:top w:val="none" w:sz="0" w:space="0" w:color="auto"/>
            <w:left w:val="none" w:sz="0" w:space="0" w:color="auto"/>
            <w:bottom w:val="none" w:sz="0" w:space="0" w:color="auto"/>
            <w:right w:val="none" w:sz="0" w:space="0" w:color="auto"/>
          </w:divBdr>
        </w:div>
        <w:div w:id="172427081">
          <w:marLeft w:val="0"/>
          <w:marRight w:val="0"/>
          <w:marTop w:val="0"/>
          <w:marBottom w:val="0"/>
          <w:divBdr>
            <w:top w:val="none" w:sz="0" w:space="0" w:color="auto"/>
            <w:left w:val="none" w:sz="0" w:space="0" w:color="auto"/>
            <w:bottom w:val="none" w:sz="0" w:space="0" w:color="auto"/>
            <w:right w:val="none" w:sz="0" w:space="0" w:color="auto"/>
          </w:divBdr>
        </w:div>
        <w:div w:id="390076745">
          <w:marLeft w:val="0"/>
          <w:marRight w:val="0"/>
          <w:marTop w:val="0"/>
          <w:marBottom w:val="0"/>
          <w:divBdr>
            <w:top w:val="none" w:sz="0" w:space="0" w:color="auto"/>
            <w:left w:val="none" w:sz="0" w:space="0" w:color="auto"/>
            <w:bottom w:val="none" w:sz="0" w:space="0" w:color="auto"/>
            <w:right w:val="none" w:sz="0" w:space="0" w:color="auto"/>
          </w:divBdr>
        </w:div>
        <w:div w:id="305402542">
          <w:marLeft w:val="0"/>
          <w:marRight w:val="0"/>
          <w:marTop w:val="0"/>
          <w:marBottom w:val="0"/>
          <w:divBdr>
            <w:top w:val="none" w:sz="0" w:space="0" w:color="auto"/>
            <w:left w:val="none" w:sz="0" w:space="0" w:color="auto"/>
            <w:bottom w:val="none" w:sz="0" w:space="0" w:color="auto"/>
            <w:right w:val="none" w:sz="0" w:space="0" w:color="auto"/>
          </w:divBdr>
        </w:div>
        <w:div w:id="870343852">
          <w:marLeft w:val="0"/>
          <w:marRight w:val="0"/>
          <w:marTop w:val="0"/>
          <w:marBottom w:val="0"/>
          <w:divBdr>
            <w:top w:val="none" w:sz="0" w:space="0" w:color="auto"/>
            <w:left w:val="none" w:sz="0" w:space="0" w:color="auto"/>
            <w:bottom w:val="none" w:sz="0" w:space="0" w:color="auto"/>
            <w:right w:val="none" w:sz="0" w:space="0" w:color="auto"/>
          </w:divBdr>
        </w:div>
        <w:div w:id="939920918">
          <w:marLeft w:val="0"/>
          <w:marRight w:val="0"/>
          <w:marTop w:val="0"/>
          <w:marBottom w:val="0"/>
          <w:divBdr>
            <w:top w:val="none" w:sz="0" w:space="0" w:color="auto"/>
            <w:left w:val="none" w:sz="0" w:space="0" w:color="auto"/>
            <w:bottom w:val="none" w:sz="0" w:space="0" w:color="auto"/>
            <w:right w:val="none" w:sz="0" w:space="0" w:color="auto"/>
          </w:divBdr>
        </w:div>
        <w:div w:id="2033994470">
          <w:marLeft w:val="0"/>
          <w:marRight w:val="0"/>
          <w:marTop w:val="0"/>
          <w:marBottom w:val="0"/>
          <w:divBdr>
            <w:top w:val="none" w:sz="0" w:space="0" w:color="auto"/>
            <w:left w:val="none" w:sz="0" w:space="0" w:color="auto"/>
            <w:bottom w:val="none" w:sz="0" w:space="0" w:color="auto"/>
            <w:right w:val="none" w:sz="0" w:space="0" w:color="auto"/>
          </w:divBdr>
        </w:div>
        <w:div w:id="1690184461">
          <w:marLeft w:val="0"/>
          <w:marRight w:val="0"/>
          <w:marTop w:val="0"/>
          <w:marBottom w:val="0"/>
          <w:divBdr>
            <w:top w:val="none" w:sz="0" w:space="0" w:color="auto"/>
            <w:left w:val="none" w:sz="0" w:space="0" w:color="auto"/>
            <w:bottom w:val="none" w:sz="0" w:space="0" w:color="auto"/>
            <w:right w:val="none" w:sz="0" w:space="0" w:color="auto"/>
          </w:divBdr>
        </w:div>
        <w:div w:id="343483424">
          <w:marLeft w:val="0"/>
          <w:marRight w:val="0"/>
          <w:marTop w:val="0"/>
          <w:marBottom w:val="0"/>
          <w:divBdr>
            <w:top w:val="none" w:sz="0" w:space="0" w:color="auto"/>
            <w:left w:val="none" w:sz="0" w:space="0" w:color="auto"/>
            <w:bottom w:val="none" w:sz="0" w:space="0" w:color="auto"/>
            <w:right w:val="none" w:sz="0" w:space="0" w:color="auto"/>
          </w:divBdr>
        </w:div>
        <w:div w:id="1864900292">
          <w:marLeft w:val="0"/>
          <w:marRight w:val="0"/>
          <w:marTop w:val="0"/>
          <w:marBottom w:val="0"/>
          <w:divBdr>
            <w:top w:val="none" w:sz="0" w:space="0" w:color="auto"/>
            <w:left w:val="none" w:sz="0" w:space="0" w:color="auto"/>
            <w:bottom w:val="none" w:sz="0" w:space="0" w:color="auto"/>
            <w:right w:val="none" w:sz="0" w:space="0" w:color="auto"/>
          </w:divBdr>
        </w:div>
        <w:div w:id="1174219617">
          <w:marLeft w:val="0"/>
          <w:marRight w:val="0"/>
          <w:marTop w:val="0"/>
          <w:marBottom w:val="0"/>
          <w:divBdr>
            <w:top w:val="none" w:sz="0" w:space="0" w:color="auto"/>
            <w:left w:val="none" w:sz="0" w:space="0" w:color="auto"/>
            <w:bottom w:val="none" w:sz="0" w:space="0" w:color="auto"/>
            <w:right w:val="none" w:sz="0" w:space="0" w:color="auto"/>
          </w:divBdr>
        </w:div>
        <w:div w:id="962729164">
          <w:marLeft w:val="0"/>
          <w:marRight w:val="0"/>
          <w:marTop w:val="0"/>
          <w:marBottom w:val="0"/>
          <w:divBdr>
            <w:top w:val="none" w:sz="0" w:space="0" w:color="auto"/>
            <w:left w:val="none" w:sz="0" w:space="0" w:color="auto"/>
            <w:bottom w:val="none" w:sz="0" w:space="0" w:color="auto"/>
            <w:right w:val="none" w:sz="0" w:space="0" w:color="auto"/>
          </w:divBdr>
        </w:div>
        <w:div w:id="1921406882">
          <w:marLeft w:val="0"/>
          <w:marRight w:val="0"/>
          <w:marTop w:val="0"/>
          <w:marBottom w:val="0"/>
          <w:divBdr>
            <w:top w:val="none" w:sz="0" w:space="0" w:color="auto"/>
            <w:left w:val="none" w:sz="0" w:space="0" w:color="auto"/>
            <w:bottom w:val="none" w:sz="0" w:space="0" w:color="auto"/>
            <w:right w:val="none" w:sz="0" w:space="0" w:color="auto"/>
          </w:divBdr>
        </w:div>
        <w:div w:id="241108163">
          <w:marLeft w:val="0"/>
          <w:marRight w:val="0"/>
          <w:marTop w:val="0"/>
          <w:marBottom w:val="0"/>
          <w:divBdr>
            <w:top w:val="none" w:sz="0" w:space="0" w:color="auto"/>
            <w:left w:val="none" w:sz="0" w:space="0" w:color="auto"/>
            <w:bottom w:val="none" w:sz="0" w:space="0" w:color="auto"/>
            <w:right w:val="none" w:sz="0" w:space="0" w:color="auto"/>
          </w:divBdr>
        </w:div>
        <w:div w:id="831605564">
          <w:marLeft w:val="0"/>
          <w:marRight w:val="0"/>
          <w:marTop w:val="0"/>
          <w:marBottom w:val="0"/>
          <w:divBdr>
            <w:top w:val="none" w:sz="0" w:space="0" w:color="auto"/>
            <w:left w:val="none" w:sz="0" w:space="0" w:color="auto"/>
            <w:bottom w:val="none" w:sz="0" w:space="0" w:color="auto"/>
            <w:right w:val="none" w:sz="0" w:space="0" w:color="auto"/>
          </w:divBdr>
        </w:div>
      </w:divsChild>
    </w:div>
    <w:div w:id="1629703832">
      <w:bodyDiv w:val="1"/>
      <w:marLeft w:val="0"/>
      <w:marRight w:val="0"/>
      <w:marTop w:val="0"/>
      <w:marBottom w:val="0"/>
      <w:divBdr>
        <w:top w:val="none" w:sz="0" w:space="0" w:color="auto"/>
        <w:left w:val="none" w:sz="0" w:space="0" w:color="auto"/>
        <w:bottom w:val="none" w:sz="0" w:space="0" w:color="auto"/>
        <w:right w:val="none" w:sz="0" w:space="0" w:color="auto"/>
      </w:divBdr>
      <w:divsChild>
        <w:div w:id="1297643545">
          <w:marLeft w:val="0"/>
          <w:marRight w:val="0"/>
          <w:marTop w:val="0"/>
          <w:marBottom w:val="0"/>
          <w:divBdr>
            <w:top w:val="none" w:sz="0" w:space="0" w:color="auto"/>
            <w:left w:val="none" w:sz="0" w:space="0" w:color="auto"/>
            <w:bottom w:val="none" w:sz="0" w:space="0" w:color="auto"/>
            <w:right w:val="none" w:sz="0" w:space="0" w:color="auto"/>
          </w:divBdr>
        </w:div>
        <w:div w:id="1944141270">
          <w:marLeft w:val="0"/>
          <w:marRight w:val="0"/>
          <w:marTop w:val="0"/>
          <w:marBottom w:val="0"/>
          <w:divBdr>
            <w:top w:val="none" w:sz="0" w:space="0" w:color="auto"/>
            <w:left w:val="none" w:sz="0" w:space="0" w:color="auto"/>
            <w:bottom w:val="none" w:sz="0" w:space="0" w:color="auto"/>
            <w:right w:val="none" w:sz="0" w:space="0" w:color="auto"/>
          </w:divBdr>
        </w:div>
        <w:div w:id="142098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RELATED PARTY TRANSACTION POLICY</vt:lpstr>
    </vt:vector>
  </TitlesOfParts>
  <Company>Tirth Plastic Limited</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PARTY TRANSACTION POLICY</dc:title>
  <dc:subject>PURSUANT TO REGULATION 23(1) OF  SECURITIES AND EXCHANGE BOARD OF INDIA (LISTING OBLIGATIONS AND DISCLOSURE REQUIREMENTS) REGULATIONS, 2015</dc:subject>
  <dc:creator>pc2</dc:creator>
  <cp:keywords/>
  <dc:description/>
  <cp:lastModifiedBy>pc2</cp:lastModifiedBy>
  <cp:revision>14</cp:revision>
  <dcterms:created xsi:type="dcterms:W3CDTF">2016-02-03T12:05:00Z</dcterms:created>
  <dcterms:modified xsi:type="dcterms:W3CDTF">2016-02-24T12:15:00Z</dcterms:modified>
</cp:coreProperties>
</file>